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  <Override PartName="/word/header1.xml" ContentType="application/vnd.openxmlformats-officedocument.wordprocessingml.header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/>
        <w:jc w:val="center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  <w:t xml:space="preserve">АКТ </w:t>
      </w:r>
    </w:p>
    <w:p>
      <w:pPr>
        <w:spacing/>
        <w:jc w:val="center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  <w:t xml:space="preserve">ревизии финансово-хозяйственной деятельности </w:t>
      </w:r>
    </w:p>
    <w:p>
      <w:pPr>
        <w:spacing/>
        <w:jc w:val="center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  <w:t xml:space="preserve">СНТСН «Полярная усадьба» (до 15.12.2018 СНТСН «Городок») </w:t>
      </w:r>
    </w:p>
    <w:p>
      <w:pPr>
        <w:spacing/>
        <w:jc w:val="center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  <w:t xml:space="preserve">за 2017 и 2018 годы </w:t>
      </w:r>
    </w:p>
    <w:p>
      <w:pPr>
        <w:spacing/>
        <w:jc w:val="center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</w:r>
    </w:p>
    <w:p>
      <w:pPr>
        <w:spacing/>
        <w:jc w:val="both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  <w:t xml:space="preserve">Мурманская область, </w:t>
      </w:r>
    </w:p>
    <w:p>
      <w:pPr>
        <w:spacing/>
        <w:jc w:val="both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  <w:t>Кольский район, территория СНТСН «Полярная усадьба»</w:t>
      </w:r>
    </w:p>
    <w:p>
      <w:pPr>
        <w:spacing/>
        <w:jc w:val="both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</w:r>
    </w:p>
    <w:p>
      <w:pPr>
        <w:spacing/>
        <w:jc w:val="right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  <w:t>12 апреля 2019 года</w:t>
      </w:r>
    </w:p>
    <w:p>
      <w:pPr>
        <w:ind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</w:r>
    </w:p>
    <w:p>
      <w:pPr>
        <w:ind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</w:r>
    </w:p>
    <w:p>
      <w:pPr>
        <w:ind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Ревизия финансово-хозяйственной деятельности СНТСН «Полярная усадьба» (далее может указываться Товарищество) проведена на основании обращения правления Товарищества от 13.12.2018 о проведении ревизии финансово-хозяйственной деятельности СНТСН «Городок» (ныне СНТСН «Полярная усадьба»). </w:t>
      </w:r>
    </w:p>
    <w:p>
      <w:pPr>
        <w:ind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Ревизия проведена ревизором Товарищества Рогачевой Екатериной Станиславовной, избранной внеочередным общим собранием Товарищества 22.04.2017. Согласно п. 18.1 устава Товарищества срок полномочий два года.</w:t>
      </w:r>
    </w:p>
    <w:p>
      <w:pPr>
        <w:ind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Функция ревизора заключается в том, чтобы на основе проведенной ревизии выразить мнение о достоверности фактов финансово-хозяйственной деятельности, указать на существующие нарушения и необоснованные расходы, дать рекомендации по сокращению расходов и устранению нарушений.</w:t>
      </w:r>
    </w:p>
    <w:p>
      <w:pPr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</w:r>
    </w:p>
    <w:p>
      <w:pPr>
        <w:ind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Режим налогообложения Товарищества - упрощенная система по ставке 6 %. </w:t>
      </w:r>
    </w:p>
    <w:p>
      <w:pPr>
        <w:ind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Объектами налогообложения являются:</w:t>
      </w:r>
    </w:p>
    <w:p>
      <w:pPr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- доходы Товарищества; </w:t>
      </w:r>
    </w:p>
    <w:p>
      <w:pPr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- земельные участки, на которых размещены объекты общего пользования и земельные участки, предназначенные для ведения садоводства, находящиеся в собственности Товарищества;</w:t>
      </w:r>
    </w:p>
    <w:p>
      <w:pPr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- оплата труда, вознаграждения по договорам гражданско-правового характера (налог на доходы физических лиц и страховые взносы).</w:t>
      </w:r>
    </w:p>
    <w:p>
      <w:pPr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</w:r>
    </w:p>
    <w:p>
      <w:pPr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</w:r>
    </w:p>
    <w:p>
      <w:pPr>
        <w:ind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Ревизором была проведена проверка:</w:t>
      </w:r>
    </w:p>
    <w:p>
      <w:pPr>
        <w:pStyle w:val="para7"/>
        <w:numPr>
          <w:ilvl w:val="0"/>
          <w:numId w:val="7"/>
        </w:numPr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Первичной документации, подтверждающей расходование денежных средств.</w:t>
      </w:r>
    </w:p>
    <w:p>
      <w:pPr>
        <w:pStyle w:val="para7"/>
        <w:numPr>
          <w:ilvl w:val="0"/>
          <w:numId w:val="7"/>
        </w:numPr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Бухгалтерского учета, отражающего своевременность и полноту финансовых операций.</w:t>
      </w:r>
    </w:p>
    <w:p>
      <w:pPr>
        <w:pStyle w:val="para7"/>
        <w:numPr>
          <w:ilvl w:val="0"/>
          <w:numId w:val="7"/>
        </w:numPr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Списания затрат в соответствии со статьями плановой сметы.</w:t>
      </w:r>
    </w:p>
    <w:p>
      <w:pPr>
        <w:pStyle w:val="para7"/>
        <w:numPr>
          <w:ilvl w:val="0"/>
          <w:numId w:val="7"/>
        </w:numPr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Расходования денежных средств.</w:t>
      </w:r>
    </w:p>
    <w:p>
      <w:pPr>
        <w:pStyle w:val="para7"/>
        <w:numPr>
          <w:ilvl w:val="0"/>
          <w:numId w:val="7"/>
        </w:numPr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bCs/>
          <w:color w:val="000000"/>
          <w:sz w:val="28"/>
          <w:szCs w:val="28"/>
        </w:rPr>
        <w:t>Выплат вознаграждения по разовым договорам гражданско-правового характера</w:t>
      </w:r>
      <w:r>
        <w:rPr>
          <w:rFonts w:eastAsia="Times New Roman"/>
          <w:color w:val="000000"/>
          <w:sz w:val="28"/>
          <w:szCs w:val="28"/>
        </w:rPr>
        <w:t xml:space="preserve"> и по заработной плате труда штатных сотрудников.</w:t>
      </w:r>
    </w:p>
    <w:p>
      <w:pPr>
        <w:pStyle w:val="para7"/>
        <w:numPr>
          <w:ilvl w:val="0"/>
          <w:numId w:val="7"/>
        </w:numPr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Учета товарно-материальных ценностей.</w:t>
      </w:r>
    </w:p>
    <w:p>
      <w:pPr>
        <w:pStyle w:val="para7"/>
        <w:numPr>
          <w:ilvl w:val="0"/>
          <w:numId w:val="7"/>
        </w:numPr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Расходования денежных средств накопительного целевого фонда.</w:t>
      </w:r>
    </w:p>
    <w:p>
      <w:pPr>
        <w:pStyle w:val="para7"/>
        <w:numPr>
          <w:ilvl w:val="0"/>
          <w:numId w:val="7"/>
        </w:numPr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Бухгалтерская (финансовая) отчетность расчетного счета Товарищества.</w:t>
      </w:r>
    </w:p>
    <w:p>
      <w:pPr>
        <w:pStyle w:val="para7"/>
        <w:ind w:left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</w:r>
    </w:p>
    <w:p>
      <w:pPr>
        <w:ind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В результате проведенной ревизии установлено:</w:t>
      </w:r>
    </w:p>
    <w:p>
      <w:pPr>
        <w:spacing/>
        <w:jc w:val="both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</w:r>
    </w:p>
    <w:p>
      <w:pPr>
        <w:spacing/>
        <w:jc w:val="both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</w:r>
    </w:p>
    <w:p>
      <w:pPr>
        <w:spacing/>
        <w:jc w:val="both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  <w:t>Раздел 1. Бухгалтерский учет.</w:t>
      </w:r>
    </w:p>
    <w:p>
      <w:pPr>
        <w:ind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</w:r>
    </w:p>
    <w:p>
      <w:pPr>
        <w:pStyle w:val="para7"/>
        <w:ind w:left="0"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Оформление документов, отчетности, ведение бухгалтерского учета с использованием программных продуктов или технических средств осуществлялось не </w:t>
      </w:r>
      <w:r>
        <w:rPr>
          <w:color w:val="000000"/>
        </w:rPr>
      </w:r>
      <w:bookmarkStart w:id="0" w:name="_GoBack"/>
      <w:bookmarkEnd w:id="0"/>
      <w:r>
        <w:rPr>
          <w:color w:val="000000"/>
        </w:rPr>
      </w:r>
      <w:r>
        <w:rPr>
          <w:rFonts w:eastAsia="Times New Roman"/>
          <w:color w:val="000000"/>
          <w:sz w:val="28"/>
          <w:szCs w:val="28"/>
        </w:rPr>
        <w:t>надлежащим образом.</w:t>
      </w:r>
      <w:r>
        <w:rPr>
          <w:rFonts w:eastAsia="Times New Roman"/>
          <w:color w:val="000000"/>
          <w:sz w:val="28"/>
          <w:szCs w:val="28"/>
        </w:rPr>
      </w:r>
    </w:p>
    <w:p>
      <w:pPr>
        <w:pStyle w:val="para7"/>
        <w:ind w:left="0"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Отсутствие надлежащего ведения бухгалтерского учета не позволяет проверить полноту представленных документов, подтверждающих проведение хозяйственных операций.</w:t>
      </w:r>
    </w:p>
    <w:p>
      <w:pPr>
        <w:pStyle w:val="para7"/>
        <w:ind w:left="0"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</w:r>
    </w:p>
    <w:p>
      <w:pPr>
        <w:ind w:firstLine="709"/>
        <w:spacing/>
        <w:jc w:val="both"/>
        <w:rPr>
          <w:rFonts w:eastAsia="Times New Roman"/>
          <w:bCs/>
          <w:color w:val="000000"/>
          <w:sz w:val="28"/>
          <w:szCs w:val="28"/>
        </w:rPr>
      </w:pPr>
      <w:r>
        <w:rPr>
          <w:rFonts w:eastAsia="Times New Roman"/>
          <w:bCs/>
          <w:color w:val="000000"/>
          <w:sz w:val="28"/>
          <w:szCs w:val="28"/>
        </w:rPr>
        <w:t xml:space="preserve">Бухгалтерский баланс на 01.01.2018: </w:t>
      </w:r>
    </w:p>
    <w:p>
      <w:pPr>
        <w:pStyle w:val="para7"/>
        <w:numPr>
          <w:ilvl w:val="0"/>
          <w:numId w:val="12"/>
        </w:numPr>
        <w:ind w:left="1069" w:hanging="360"/>
        <w:spacing/>
        <w:jc w:val="both"/>
        <w:rPr>
          <w:rFonts w:eastAsia="Times New Roman"/>
          <w:bCs/>
          <w:color w:val="000000"/>
          <w:sz w:val="28"/>
          <w:szCs w:val="28"/>
        </w:rPr>
      </w:pPr>
      <w:r>
        <w:rPr>
          <w:rFonts w:eastAsia="Times New Roman"/>
          <w:bCs/>
          <w:color w:val="000000"/>
          <w:sz w:val="28"/>
          <w:szCs w:val="28"/>
        </w:rPr>
        <w:t>Кредиторская задолженность составляет 9 526 000,00 рублей;</w:t>
      </w:r>
    </w:p>
    <w:p>
      <w:pPr>
        <w:pStyle w:val="para7"/>
        <w:numPr>
          <w:ilvl w:val="0"/>
          <w:numId w:val="12"/>
        </w:numPr>
        <w:ind w:left="1069" w:hanging="360"/>
        <w:spacing/>
        <w:jc w:val="both"/>
        <w:rPr>
          <w:rFonts w:eastAsia="Times New Roman"/>
          <w:bCs/>
          <w:color w:val="000000"/>
          <w:sz w:val="28"/>
          <w:szCs w:val="28"/>
        </w:rPr>
      </w:pPr>
      <w:r>
        <w:rPr>
          <w:rFonts w:eastAsia="Times New Roman"/>
          <w:bCs/>
          <w:color w:val="000000"/>
          <w:sz w:val="28"/>
          <w:szCs w:val="28"/>
        </w:rPr>
        <w:t>Денежные средства на расчетном счете 24 000,00 рублей</w:t>
      </w:r>
    </w:p>
    <w:p>
      <w:pPr>
        <w:pStyle w:val="para7"/>
        <w:ind w:left="1069"/>
        <w:spacing/>
        <w:jc w:val="both"/>
        <w:rPr>
          <w:rFonts w:eastAsia="Times New Roman"/>
          <w:bCs/>
          <w:color w:val="000000"/>
          <w:sz w:val="28"/>
          <w:szCs w:val="28"/>
        </w:rPr>
      </w:pPr>
      <w:r>
        <w:rPr>
          <w:rFonts w:eastAsia="Times New Roman"/>
          <w:bCs/>
          <w:color w:val="000000"/>
          <w:sz w:val="28"/>
          <w:szCs w:val="28"/>
        </w:rPr>
      </w:r>
    </w:p>
    <w:p>
      <w:pPr>
        <w:ind w:firstLine="709"/>
        <w:spacing/>
        <w:jc w:val="both"/>
        <w:rPr>
          <w:rFonts w:eastAsia="Times New Roman"/>
          <w:bCs/>
          <w:color w:val="000000"/>
          <w:sz w:val="28"/>
          <w:szCs w:val="28"/>
        </w:rPr>
      </w:pPr>
      <w:r>
        <w:rPr>
          <w:rFonts w:eastAsia="Times New Roman"/>
          <w:bCs/>
          <w:color w:val="000000"/>
          <w:sz w:val="28"/>
          <w:szCs w:val="28"/>
        </w:rPr>
        <w:t>Бухгалтерский баланс на 01.01.2019:</w:t>
      </w:r>
    </w:p>
    <w:p>
      <w:pPr>
        <w:pStyle w:val="para7"/>
        <w:numPr>
          <w:ilvl w:val="0"/>
          <w:numId w:val="14"/>
        </w:numPr>
        <w:ind w:left="1069" w:hanging="360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Кредиторская задолженность составляет 9 804 000,00 рублей;</w:t>
      </w:r>
    </w:p>
    <w:p>
      <w:pPr>
        <w:pStyle w:val="para7"/>
        <w:numPr>
          <w:ilvl w:val="0"/>
          <w:numId w:val="14"/>
        </w:numPr>
        <w:ind w:left="1069" w:hanging="360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Денежные средства на расчетном счете 724 000,00 рублей.</w:t>
      </w:r>
    </w:p>
    <w:p>
      <w:pPr>
        <w:ind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</w:r>
    </w:p>
    <w:p>
      <w:pPr>
        <w:ind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  <w:t>Рекомендовано:</w:t>
        <w:br w:type="textWrapping"/>
      </w:r>
      <w:r>
        <w:rPr>
          <w:rFonts w:eastAsia="Times New Roman"/>
          <w:color w:val="000000"/>
          <w:sz w:val="28"/>
          <w:szCs w:val="28"/>
        </w:rPr>
        <w:tab/>
        <w:t>1. Установить порядок ведения бухгалтерского учета, а именно порядок оформления поступлений и расходования денежных средств, порядок получения денежных средств на расходы, относящиеся к деятельности Товарищества, порядок отчетности за произведенные расходы, в том числе сроки отчетности. Отдельные рекомендации представлены ниже по акту.</w:t>
      </w:r>
    </w:p>
    <w:p>
      <w:pPr>
        <w:ind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2. Установить периодичность проведения промежуточной бухгалтерской (финансовой) отчетности.</w:t>
      </w:r>
    </w:p>
    <w:p>
      <w:pPr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</w:r>
    </w:p>
    <w:p>
      <w:pPr>
        <w:spacing/>
        <w:jc w:val="both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  <w:t>Раздел 2. Доходы и расходы.</w:t>
      </w:r>
    </w:p>
    <w:p>
      <w:pPr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</w:r>
    </w:p>
    <w:p>
      <w:pPr>
        <w:pStyle w:val="para7"/>
        <w:numPr>
          <w:ilvl w:val="0"/>
          <w:numId w:val="5"/>
        </w:numPr>
        <w:ind w:left="0" w:firstLine="708"/>
        <w:spacing/>
        <w:jc w:val="both"/>
        <w:rPr>
          <w:rFonts w:eastAsia="Times New Roman"/>
          <w:bCs/>
          <w:color w:val="000000"/>
          <w:sz w:val="28"/>
          <w:szCs w:val="28"/>
        </w:rPr>
      </w:pPr>
      <w:r>
        <w:rPr>
          <w:rFonts w:eastAsia="Times New Roman"/>
          <w:bCs/>
          <w:color w:val="000000"/>
          <w:sz w:val="28"/>
          <w:szCs w:val="28"/>
        </w:rPr>
        <w:t xml:space="preserve">Смета СНТСН «Городок» была принята решением внеочередного общего собрания Товарищества от 25.08.2017, проведенного в заочной форме, которым также утвержден размер платы за пользование объектами инфраструктуры и другим имуществом общего пользования СОНТСН «Городок» для граждан, ведущих садоводство и огородничество в индивидуальном порядке на территории Товарищества, в сумме 4,0 рубля с одного квадратного метра площади принадлежащих им земельных участков и размер членского взноса для членов Товарищества в размере 4,5 рублей. </w:t>
      </w:r>
    </w:p>
    <w:p>
      <w:pPr>
        <w:pStyle w:val="para7"/>
        <w:numPr>
          <w:ilvl w:val="0"/>
          <w:numId w:val="5"/>
        </w:numPr>
        <w:ind w:left="0" w:firstLine="708"/>
        <w:spacing/>
        <w:jc w:val="both"/>
        <w:rPr>
          <w:rFonts w:eastAsia="Times New Roman"/>
          <w:bCs/>
          <w:color w:val="000000"/>
          <w:sz w:val="28"/>
          <w:szCs w:val="28"/>
          <w:u w:color="auto" w:val="single"/>
        </w:rPr>
      </w:pPr>
      <w:r>
        <w:rPr>
          <w:rFonts w:eastAsia="Times New Roman"/>
          <w:bCs/>
          <w:color w:val="000000"/>
          <w:sz w:val="28"/>
          <w:szCs w:val="28"/>
        </w:rPr>
        <w:t>Решением годового общего собрания СОНТСН «Городок» от 17.06.2018 для лиц, ведущих индивидуальную садово-огородническую деятельность на территории Товарищества без участия в Товариществе, и для членов, установлена величина ежемесячного взноса за пользование объектами инфраструктуры и другими объектами Товарищества в размере 1,92 руб./м</w:t>
      </w:r>
      <w:r>
        <w:rPr>
          <w:rFonts w:eastAsia="Times New Roman"/>
          <w:bCs/>
          <w:smallCaps/>
          <w:color w:val="000000"/>
          <w:sz w:val="28"/>
          <w:szCs w:val="28"/>
        </w:rPr>
        <w:t>2</w:t>
      </w:r>
      <w:r>
        <w:rPr>
          <w:rFonts w:eastAsia="Times New Roman"/>
          <w:bCs/>
          <w:color w:val="000000"/>
          <w:sz w:val="28"/>
          <w:szCs w:val="28"/>
        </w:rPr>
        <w:t xml:space="preserve"> в соответствии с площадью земельного участка собственника. Этим же решением постановлено распространить действия настоящего решения в отношении указанных лиц на правоотношения, возникшие с 01.09 2017.</w:t>
      </w:r>
      <w:r>
        <w:rPr>
          <w:rFonts w:eastAsia="Times New Roman"/>
          <w:bCs/>
          <w:color w:val="000000"/>
          <w:sz w:val="28"/>
          <w:szCs w:val="28"/>
          <w:u w:color="auto" w:val="single"/>
        </w:rPr>
      </w:r>
    </w:p>
    <w:p>
      <w:pPr>
        <w:pStyle w:val="para7"/>
        <w:numPr>
          <w:ilvl w:val="0"/>
          <w:numId w:val="5"/>
        </w:numPr>
        <w:ind w:left="0"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Согласно смете доходы и расходы Товарищества, предусмотрены на 2017 и 2018 годы в размере 2 658 108,00 рублей ежегодно.</w:t>
      </w:r>
    </w:p>
    <w:p>
      <w:pPr>
        <w:pStyle w:val="para7"/>
        <w:numPr>
          <w:ilvl w:val="0"/>
          <w:numId w:val="5"/>
        </w:numPr>
        <w:ind w:left="0"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Поступление средств от собственников осуществлялось путем зачисления денежных средств на банковский счет казначея Товарищества, а также  наличным способом на основании</w:t>
      </w:r>
      <w:r>
        <w:rPr>
          <w:rFonts w:eastAsia="Arial Unicode MS"/>
          <w:color w:val="000000"/>
          <w:sz w:val="28"/>
          <w:szCs w:val="28"/>
        </w:rPr>
        <w:t xml:space="preserve"> Временного положения о порядке сбора, уплаты и расходования денежных средств на содержание и общие нужды  СОНТСН «Городок» и гражданами, ведущими садоводство и огородничество в индивидуальном порядке на его территории</w:t>
      </w:r>
      <w:r>
        <w:rPr>
          <w:rFonts w:eastAsia="Times New Roman"/>
          <w:color w:val="000000"/>
          <w:sz w:val="28"/>
          <w:szCs w:val="28"/>
        </w:rPr>
        <w:t xml:space="preserve">, а также Положения о казначее </w:t>
      </w:r>
      <w:r>
        <w:rPr>
          <w:rFonts w:eastAsia="Arial Unicode MS"/>
          <w:color w:val="000000"/>
          <w:sz w:val="28"/>
          <w:szCs w:val="28"/>
        </w:rPr>
        <w:t>СОНТСН «Городок», утвержденных</w:t>
      </w:r>
      <w:r>
        <w:rPr>
          <w:rFonts w:eastAsia="Times New Roman"/>
          <w:color w:val="000000"/>
          <w:sz w:val="28"/>
          <w:szCs w:val="28"/>
        </w:rPr>
        <w:t xml:space="preserve"> внеочередным общим собранием</w:t>
      </w:r>
      <w:r>
        <w:rPr>
          <w:rFonts w:eastAsia="Times New Roman"/>
          <w:color w:val="000000"/>
          <w:sz w:val="28"/>
          <w:szCs w:val="28"/>
        </w:rPr>
        <w:t xml:space="preserve"> Товар</w:t>
      </w:r>
      <w:r>
        <w:rPr>
          <w:rFonts w:eastAsia="Times New Roman"/>
          <w:color w:val="000000"/>
          <w:sz w:val="28"/>
          <w:szCs w:val="28"/>
        </w:rPr>
        <w:t>и</w:t>
      </w:r>
      <w:r>
        <w:rPr>
          <w:rFonts w:eastAsia="Times New Roman"/>
          <w:color w:val="000000"/>
          <w:sz w:val="28"/>
          <w:szCs w:val="28"/>
        </w:rPr>
        <w:t>щества 22.04.2017.</w:t>
      </w:r>
      <w:r>
        <w:rPr>
          <w:rFonts w:eastAsia="Times New Roman"/>
          <w:color w:val="000000"/>
          <w:sz w:val="28"/>
          <w:szCs w:val="28"/>
        </w:rPr>
      </w:r>
    </w:p>
    <w:p>
      <w:pPr>
        <w:pStyle w:val="para7"/>
        <w:numPr>
          <w:ilvl w:val="0"/>
          <w:numId w:val="5"/>
        </w:numPr>
        <w:ind w:left="0"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Согласно данным казначея поступление денежных средств </w:t>
      </w:r>
      <w:r>
        <w:rPr>
          <w:rFonts w:eastAsia="Times New Roman"/>
          <w:bCs/>
          <w:color w:val="000000"/>
          <w:sz w:val="28"/>
          <w:szCs w:val="28"/>
        </w:rPr>
        <w:t>в виде ежемесячных членских взносов членов Товарищества и взносов собственников земельных участков, ведущих садовую деятельность без участия в Товариществе,</w:t>
      </w:r>
      <w:r>
        <w:rPr>
          <w:rFonts w:eastAsia="Times New Roman"/>
          <w:color w:val="000000"/>
          <w:sz w:val="28"/>
          <w:szCs w:val="28"/>
        </w:rPr>
        <w:t xml:space="preserve"> составило:</w:t>
      </w:r>
    </w:p>
    <w:p>
      <w:pPr>
        <w:pStyle w:val="para7"/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- за 2017 год в сумме 1 255 142,12 рублей;</w:t>
      </w:r>
    </w:p>
    <w:p>
      <w:pPr>
        <w:pStyle w:val="para7"/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- за 2018 год в сумме 1 532 609,88 рублей.</w:t>
      </w:r>
    </w:p>
    <w:p>
      <w:pPr>
        <w:pStyle w:val="para7"/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Следует отметить, что часть средств из вышеуказанных сумм поступлений зачислялись на вклад по счету № 40817.810.9.4186.0419270 (банковская карта), открытый на имя казначея Товарищества Соболевой Юлии Сергеевны. </w:t>
      </w:r>
    </w:p>
    <w:p>
      <w:pPr>
        <w:pStyle w:val="para7"/>
        <w:ind w:left="0" w:firstLine="709"/>
        <w:spacing/>
        <w:jc w:val="both"/>
        <w:rPr>
          <w:rFonts w:eastAsia="Times New Roman"/>
          <w:bCs/>
          <w:color w:val="000000"/>
          <w:sz w:val="28"/>
          <w:szCs w:val="28"/>
        </w:rPr>
      </w:pPr>
      <w:r>
        <w:rPr>
          <w:rFonts w:eastAsia="Times New Roman"/>
          <w:bCs/>
          <w:color w:val="000000"/>
          <w:sz w:val="28"/>
          <w:szCs w:val="28"/>
        </w:rPr>
        <w:t>Недоимка по ежемесячным членским взносам членов Товарищества и взносам собственников земельных участков, ведущих садовую деятельность без участия в Товариществе, составила:</w:t>
      </w:r>
    </w:p>
    <w:p>
      <w:pPr>
        <w:pStyle w:val="para7"/>
        <w:ind w:left="0" w:firstLine="709"/>
        <w:spacing/>
        <w:jc w:val="both"/>
        <w:rPr>
          <w:rFonts w:eastAsia="Times New Roman"/>
          <w:bCs/>
          <w:color w:val="000000"/>
          <w:sz w:val="28"/>
          <w:szCs w:val="28"/>
        </w:rPr>
      </w:pPr>
      <w:r>
        <w:rPr>
          <w:rFonts w:eastAsia="Times New Roman"/>
          <w:bCs/>
          <w:color w:val="000000"/>
          <w:sz w:val="28"/>
          <w:szCs w:val="28"/>
        </w:rPr>
        <w:t>- за 2017 год в сумме 1 402 965,88 рублей (2 658 108,00 - 1 255 142,12);</w:t>
      </w:r>
    </w:p>
    <w:p>
      <w:pPr>
        <w:pStyle w:val="para7"/>
        <w:ind w:left="0" w:firstLine="709"/>
        <w:spacing/>
        <w:jc w:val="both"/>
        <w:rPr>
          <w:rFonts w:eastAsia="Times New Roman"/>
          <w:bCs/>
          <w:color w:val="000000"/>
          <w:sz w:val="28"/>
          <w:szCs w:val="28"/>
        </w:rPr>
      </w:pPr>
      <w:r>
        <w:rPr>
          <w:rFonts w:eastAsia="Times New Roman"/>
          <w:bCs/>
          <w:color w:val="000000"/>
          <w:sz w:val="28"/>
          <w:szCs w:val="28"/>
        </w:rPr>
        <w:t>- за 2018 год в сумме 1 125 498,12 рублей (2 658 108,00 - 1 532 609,88).</w:t>
      </w:r>
    </w:p>
    <w:p>
      <w:pPr>
        <w:pStyle w:val="para7"/>
        <w:ind w:left="0" w:firstLine="709"/>
        <w:spacing/>
        <w:jc w:val="both"/>
        <w:rPr>
          <w:rFonts w:eastAsia="Times New Roman"/>
          <w:bCs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Согласно представленным документам расходы составили:</w:t>
      </w:r>
      <w:r>
        <w:rPr>
          <w:rFonts w:eastAsia="Times New Roman"/>
          <w:bCs/>
          <w:color w:val="000000"/>
          <w:sz w:val="28"/>
          <w:szCs w:val="28"/>
        </w:rPr>
      </w:r>
    </w:p>
    <w:p>
      <w:pPr>
        <w:pStyle w:val="para7"/>
        <w:ind w:left="1418" w:hanging="709"/>
        <w:spacing/>
        <w:jc w:val="both"/>
        <w:rPr>
          <w:rFonts w:eastAsia="Times New Roman"/>
          <w:bCs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- за 2017 год в сумме 1 215 113,55 рублей;</w:t>
      </w:r>
      <w:r>
        <w:rPr>
          <w:rFonts w:eastAsia="Times New Roman"/>
          <w:bCs/>
          <w:color w:val="000000"/>
          <w:sz w:val="28"/>
          <w:szCs w:val="28"/>
        </w:rPr>
      </w:r>
    </w:p>
    <w:p>
      <w:pPr>
        <w:pStyle w:val="para7"/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- за 2018 год в сумме 1 876 235,13 рублей.</w:t>
      </w:r>
    </w:p>
    <w:p>
      <w:pPr>
        <w:pStyle w:val="para7"/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Выдача денежных средств на хозяйственные и прочие расходы производилась без оформления заявлений и авансовых отчетов подотчетных лиц. </w:t>
      </w:r>
    </w:p>
    <w:p>
      <w:pPr>
        <w:pStyle w:val="para7"/>
        <w:ind w:left="0"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Произведенные расходы не всегда оформлялись документально с приложением оправдательных документов. Данных фактов установлено на сумму:</w:t>
      </w:r>
    </w:p>
    <w:p>
      <w:pPr>
        <w:pStyle w:val="para7"/>
        <w:ind w:left="0"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- за 2017 год в сумме 382 660,00 рублей (расходы составили 1 215 113,55 рублей,  в т. ч. с учетом правильности оформления документов в сумме</w:t>
      </w:r>
    </w:p>
    <w:p>
      <w:pPr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832 453,55 рублей).</w:t>
      </w:r>
    </w:p>
    <w:p>
      <w:pPr>
        <w:pStyle w:val="para7"/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- за 2018 год в сумме 504 173,39 рублей (расходы составили 1 876 235,13 рублей, в т. ч. с учетом правильности оформления документов в сумме </w:t>
      </w:r>
    </w:p>
    <w:p>
      <w:pPr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1 372 061,74 рубля).</w:t>
      </w:r>
    </w:p>
    <w:p>
      <w:pPr>
        <w:pStyle w:val="para7"/>
        <w:ind w:left="0"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Не подтвержденные надлежащим образом расходы составляют разницу между «фактическими расходами» и «расходами, принятыми к учету».</w:t>
      </w:r>
    </w:p>
    <w:p>
      <w:pPr>
        <w:pStyle w:val="para7"/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Причиной непринятия к учету документов послужило, например: отсутствие подписей в расписках в получении денежных средств, отсутствие самих расписок, актов выполненных работ, а также товарных чеков, предусматривающих расшифровку приобретенного товара, наличие ксерокопий документов, без предоставления подлинных документов и другое.</w:t>
      </w:r>
    </w:p>
    <w:p>
      <w:pPr>
        <w:pStyle w:val="para7"/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</w:r>
    </w:p>
    <w:p>
      <w:pPr>
        <w:pStyle w:val="para7"/>
        <w:ind w:firstLine="131"/>
        <w:spacing/>
        <w:jc w:val="both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  <w:t>Рекомендовано:</w:t>
      </w:r>
    </w:p>
    <w:p>
      <w:pPr>
        <w:pStyle w:val="para7"/>
        <w:numPr>
          <w:ilvl w:val="0"/>
          <w:numId w:val="3"/>
        </w:numPr>
        <w:ind w:left="36" w:firstLine="815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Председателю Товарищества организовать ведение надлежащего бухгалтерского учета в Товариществе,</w:t>
      </w:r>
      <w:r>
        <w:rPr>
          <w:rFonts w:eastAsia="Times New Roman"/>
          <w:b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осуществлять денежные операции путем зачисления и списания с расчетного счета, открытого в банке для деятельности Товарищества.</w:t>
      </w:r>
    </w:p>
    <w:p>
      <w:pPr>
        <w:pStyle w:val="para7"/>
        <w:numPr>
          <w:ilvl w:val="0"/>
          <w:numId w:val="3"/>
        </w:numPr>
        <w:ind w:left="0" w:firstLine="851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Определить круг лиц, имеющих право осуществлять расходы на нужды Товарищества.</w:t>
      </w:r>
    </w:p>
    <w:p>
      <w:pPr>
        <w:pStyle w:val="para7"/>
        <w:numPr>
          <w:ilvl w:val="0"/>
          <w:numId w:val="3"/>
        </w:numPr>
        <w:ind w:left="0" w:firstLine="851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Оформлять расходование денежных средств в виде авансового отчета, с приложением оправдательных документов.</w:t>
      </w:r>
    </w:p>
    <w:p>
      <w:pPr>
        <w:pStyle w:val="para7"/>
        <w:numPr>
          <w:ilvl w:val="0"/>
          <w:numId w:val="3"/>
        </w:numPr>
        <w:ind w:left="0" w:firstLine="851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Осуществлять на отчетные даты сверку выданных и израсходованных денежных средств.</w:t>
      </w:r>
    </w:p>
    <w:p>
      <w:pPr>
        <w:pStyle w:val="para7"/>
        <w:numPr>
          <w:ilvl w:val="0"/>
          <w:numId w:val="3"/>
        </w:numPr>
        <w:ind w:left="0" w:firstLine="851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bCs/>
          <w:color w:val="000000"/>
          <w:sz w:val="28"/>
          <w:szCs w:val="28"/>
        </w:rPr>
        <w:t>Организовать работу по взысканию с неплательщиков недоимки по ежемесячным членским взносам членов Товарищества и взносам собственников земельных участков, ведущих садовую деятельность без участия в Товариществе.</w:t>
      </w:r>
      <w:r>
        <w:rPr>
          <w:rFonts w:eastAsia="Times New Roman"/>
          <w:color w:val="000000"/>
          <w:sz w:val="28"/>
          <w:szCs w:val="28"/>
        </w:rPr>
      </w:r>
    </w:p>
    <w:p>
      <w:pPr>
        <w:pStyle w:val="para7"/>
        <w:ind w:left="0"/>
        <w:spacing/>
        <w:jc w:val="center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</w:r>
    </w:p>
    <w:p>
      <w:pPr>
        <w:pStyle w:val="para7"/>
        <w:ind w:left="0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  <w:t>Раздел 3. Выплата вознаграждений.</w:t>
      </w:r>
    </w:p>
    <w:p>
      <w:pPr>
        <w:pStyle w:val="para7"/>
        <w:ind w:firstLine="131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</w:r>
    </w:p>
    <w:p>
      <w:pPr>
        <w:pStyle w:val="para7"/>
        <w:ind w:left="0" w:firstLine="851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Установлен разовый случай выплаты вознаграждения председателю СОНТСН «Городок» Старостенкову С.В. в 2017 году в сумме 20 000,00 рублей.</w:t>
      </w:r>
    </w:p>
    <w:p>
      <w:pPr>
        <w:pStyle w:val="para7"/>
        <w:ind w:left="0" w:firstLine="851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По договорам гражданско-правового характера оформлялось и выплачивалось вознаграждение, например: за услуги по организации контроля въезда автотранспорта в поселок, услуги бухгалтера, услуги энергетика, услуги механизированной уборки мест общего пользования и другие.</w:t>
      </w:r>
    </w:p>
    <w:p>
      <w:pPr>
        <w:pStyle w:val="para7"/>
        <w:ind w:left="0" w:firstLine="851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Выплата заработной платы в Товариществе никому не производилась в связи с отсутствием штатного расписания и принятых на работу по трудовому договору штатных работников.</w:t>
      </w:r>
    </w:p>
    <w:p>
      <w:pPr>
        <w:pStyle w:val="para7"/>
        <w:ind w:left="0" w:firstLine="851"/>
        <w:spacing/>
        <w:jc w:val="both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</w:r>
    </w:p>
    <w:p>
      <w:pPr>
        <w:pStyle w:val="para7"/>
        <w:ind w:left="0" w:firstLine="851"/>
        <w:spacing/>
        <w:jc w:val="both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b/>
          <w:color w:val="000000"/>
          <w:sz w:val="28"/>
          <w:szCs w:val="28"/>
        </w:rPr>
        <w:t>Рекомендовано:</w:t>
      </w:r>
      <w:r>
        <w:rPr>
          <w:rFonts w:eastAsia="Times New Roman"/>
          <w:b/>
          <w:color w:val="000000"/>
          <w:sz w:val="28"/>
          <w:szCs w:val="28"/>
        </w:rPr>
      </w:r>
    </w:p>
    <w:p>
      <w:pPr>
        <w:pStyle w:val="para7"/>
        <w:numPr>
          <w:ilvl w:val="0"/>
          <w:numId w:val="10"/>
        </w:numPr>
        <w:ind w:left="0" w:firstLine="701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Установить перечень обязанностей лиц, ответственных за деятельность Товарищества, виды отчетности о проделанной работе и виды материального стимулирования.</w:t>
      </w:r>
    </w:p>
    <w:p>
      <w:pPr>
        <w:pStyle w:val="para7"/>
        <w:numPr>
          <w:ilvl w:val="0"/>
          <w:numId w:val="10"/>
        </w:numPr>
        <w:ind w:left="0" w:firstLine="701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Осуществлять оформление договоров гражданско-правового характера с учетом требований законодательства, в том числе с учетом соответствующих страховых и налоговых отчислений.</w:t>
      </w:r>
    </w:p>
    <w:p>
      <w:pPr>
        <w:pStyle w:val="para7"/>
        <w:ind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</w:r>
    </w:p>
    <w:p>
      <w:pPr>
        <w:pStyle w:val="para7"/>
        <w:ind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</w:r>
    </w:p>
    <w:p>
      <w:pPr>
        <w:pStyle w:val="para7"/>
        <w:ind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</w:r>
    </w:p>
    <w:p>
      <w:pPr>
        <w:pStyle w:val="para7"/>
        <w:ind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</w:r>
    </w:p>
    <w:p>
      <w:pPr>
        <w:pStyle w:val="para7"/>
        <w:ind w:left="12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  <w:t>Раздел 4. Учет материальных ценностей.</w:t>
      </w:r>
    </w:p>
    <w:p>
      <w:pPr>
        <w:pStyle w:val="para7"/>
        <w:ind w:firstLine="708"/>
        <w:spacing/>
        <w:jc w:val="both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</w:r>
    </w:p>
    <w:p>
      <w:pPr>
        <w:pStyle w:val="para7"/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Учет и списание приобретенных товарно-материальных ценностей осуществлялись без оформления актов списания с указанием цели использования.</w:t>
      </w:r>
    </w:p>
    <w:p>
      <w:pPr>
        <w:pStyle w:val="para7"/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</w:r>
    </w:p>
    <w:p>
      <w:pPr>
        <w:pStyle w:val="para7"/>
        <w:ind w:hanging="11"/>
        <w:spacing/>
        <w:jc w:val="both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  <w:t>Рекомендовано:</w:t>
      </w:r>
    </w:p>
    <w:p>
      <w:pPr>
        <w:pStyle w:val="para7"/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Установить и соблюдать порядок оформления приобретенных товарно-материальных ценностей (акты списания, указывать цель покупки на обратной стороне документа, подтверждающего приобретение товара). </w:t>
      </w:r>
    </w:p>
    <w:p>
      <w:pPr>
        <w:pStyle w:val="para7"/>
        <w:ind w:left="-709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</w:r>
    </w:p>
    <w:p>
      <w:pPr>
        <w:pStyle w:val="para7"/>
        <w:ind w:left="-709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</w:r>
    </w:p>
    <w:p>
      <w:pPr>
        <w:pStyle w:val="para7"/>
        <w:ind w:left="-57" w:firstLine="57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  <w:t>Раздел 5. Расходы на содержание и ремонт инфраструктуры и общего имущества  Товарищества.</w:t>
      </w:r>
    </w:p>
    <w:p>
      <w:pPr>
        <w:pStyle w:val="para7"/>
        <w:ind w:left="2044"/>
        <w:spacing/>
        <w:jc w:val="both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</w:r>
    </w:p>
    <w:p>
      <w:pPr>
        <w:pStyle w:val="para7"/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Согласно смете Товарищества для расчета размера ежемесячных взносов общий расход предусмотрен на 2017 и 2018 годы в сумме по 2 658 108,00 рублей ежегодно.</w:t>
      </w:r>
    </w:p>
    <w:p>
      <w:pPr>
        <w:pStyle w:val="para7"/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- за 2017 год произведенные расходы в сумме 871 728,95 рублей (в т. ч. принятые к учету в сумме 661 376,45 рублей и непринятые к учету в связи с ненадлежащим оформлением документов в сумме 210 352,50 рублей)</w:t>
      </w:r>
      <w:r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можно отн</w:t>
      </w:r>
      <w:r>
        <w:rPr>
          <w:rFonts w:eastAsia="Times New Roman"/>
          <w:color w:val="000000"/>
          <w:sz w:val="28"/>
          <w:szCs w:val="28"/>
        </w:rPr>
        <w:t>е</w:t>
      </w:r>
      <w:r>
        <w:rPr>
          <w:rFonts w:eastAsia="Times New Roman"/>
          <w:color w:val="000000"/>
          <w:sz w:val="28"/>
          <w:szCs w:val="28"/>
        </w:rPr>
        <w:t>сти к следующим стат</w:t>
      </w:r>
      <w:r>
        <w:rPr>
          <w:rFonts w:eastAsia="Times New Roman"/>
          <w:color w:val="000000"/>
          <w:sz w:val="28"/>
          <w:szCs w:val="28"/>
        </w:rPr>
        <w:t>ь</w:t>
      </w:r>
      <w:r>
        <w:rPr>
          <w:rFonts w:eastAsia="Times New Roman"/>
          <w:color w:val="000000"/>
          <w:sz w:val="28"/>
          <w:szCs w:val="28"/>
        </w:rPr>
        <w:t>ям расходов сметы, а именно:</w:t>
      </w:r>
      <w:r>
        <w:rPr>
          <w:rFonts w:eastAsia="Times New Roman"/>
          <w:color w:val="000000"/>
          <w:sz w:val="28"/>
          <w:szCs w:val="28"/>
        </w:rPr>
      </w:r>
    </w:p>
    <w:p>
      <w:pPr>
        <w:pStyle w:val="para7"/>
        <w:numPr>
          <w:ilvl w:val="0"/>
          <w:numId w:val="1"/>
        </w:numPr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расходы на оплату ежемесячного вознаграждения председателю правления Товарищества в сумме 20 000,00 рублей (за сентябрь 2017 года);</w:t>
      </w:r>
    </w:p>
    <w:p>
      <w:pPr>
        <w:pStyle w:val="para7"/>
        <w:numPr>
          <w:ilvl w:val="0"/>
          <w:numId w:val="1"/>
        </w:numPr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расходы на почтовую связь для отправки корреспонденции в сумме 3 028,25 рублей;</w:t>
      </w:r>
    </w:p>
    <w:p>
      <w:pPr>
        <w:pStyle w:val="para7"/>
        <w:numPr>
          <w:ilvl w:val="0"/>
          <w:numId w:val="1"/>
        </w:numPr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расходы на ведение банковского счета Товарищества в сумме 1 110 рублей;</w:t>
      </w:r>
    </w:p>
    <w:p>
      <w:pPr>
        <w:pStyle w:val="para7"/>
        <w:numPr>
          <w:ilvl w:val="0"/>
          <w:numId w:val="1"/>
        </w:numPr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непредвиденные расходы в сумме 4 500,00 рублей (за аренду помещения для проведения собрания) (не принята к учету в связи с ненадлежащим оформлением документов сумма 4 000,00 рублей);</w:t>
      </w:r>
    </w:p>
    <w:p>
      <w:pPr>
        <w:pStyle w:val="para7"/>
        <w:numPr>
          <w:ilvl w:val="0"/>
          <w:numId w:val="1"/>
        </w:numPr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ежегодные профилактические работы по обслуживанию и ремонту трансформаторных (далее – ТП) и распределительных подстанций (далее – РП) в сумме 32 987,00 рублей (не принята к учету в связи с ненадлежащим оформлением документов сумма 3 015,00 рублей);</w:t>
      </w:r>
    </w:p>
    <w:p>
      <w:pPr>
        <w:pStyle w:val="para7"/>
        <w:numPr>
          <w:ilvl w:val="0"/>
          <w:numId w:val="1"/>
        </w:numPr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обслуживание инженерных сетей электроснабжения и ТП в сумме 20 000,00 рублей (не принята к учету в связи с ненадлежащим оформлением документов сумма 98 000,00 рублей);</w:t>
      </w:r>
    </w:p>
    <w:p>
      <w:pPr>
        <w:pStyle w:val="para7"/>
        <w:numPr>
          <w:ilvl w:val="0"/>
          <w:numId w:val="1"/>
        </w:numPr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механизированная уборка мест общего пользования от снега в сумме 25 000,00 рублей;</w:t>
      </w:r>
    </w:p>
    <w:p>
      <w:pPr>
        <w:pStyle w:val="para7"/>
        <w:numPr>
          <w:ilvl w:val="0"/>
          <w:numId w:val="1"/>
        </w:numPr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механизированная уборка мест общего пользования в летнее время, посыпка дорог и проездов песчано-гравийной смесью (далее – ПГС) в сумме 2 000,00 рублей (в ноябре 2017 года);</w:t>
      </w:r>
    </w:p>
    <w:p>
      <w:pPr>
        <w:pStyle w:val="para7"/>
        <w:numPr>
          <w:ilvl w:val="0"/>
          <w:numId w:val="1"/>
        </w:numPr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приобретение противогололедных реагентов и ПГС для посыпки дорог и проездов не приняты к учету в связи с ненадлежащим оформлением документов в сумме 20 000,00 рублей;</w:t>
      </w:r>
    </w:p>
    <w:p>
      <w:pPr>
        <w:pStyle w:val="para7"/>
        <w:numPr>
          <w:ilvl w:val="0"/>
          <w:numId w:val="1"/>
        </w:numPr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приобретение бумаги и иных канцелярских товаров не приняты к учету</w:t>
      </w:r>
      <w:r>
        <w:rPr>
          <w:color w:val="000000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в связи с ненадлежащим оформлением документов</w:t>
      </w:r>
      <w:r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в сумме 15 993,50 ру</w:t>
      </w:r>
      <w:r>
        <w:rPr>
          <w:rFonts w:eastAsia="Times New Roman"/>
          <w:color w:val="000000"/>
          <w:sz w:val="28"/>
          <w:szCs w:val="28"/>
        </w:rPr>
        <w:t>б</w:t>
      </w:r>
      <w:r>
        <w:rPr>
          <w:rFonts w:eastAsia="Times New Roman"/>
          <w:color w:val="000000"/>
          <w:sz w:val="28"/>
          <w:szCs w:val="28"/>
        </w:rPr>
        <w:t>лей;</w:t>
      </w:r>
      <w:r>
        <w:rPr>
          <w:rFonts w:eastAsia="Times New Roman"/>
          <w:color w:val="000000"/>
          <w:sz w:val="28"/>
          <w:szCs w:val="28"/>
        </w:rPr>
      </w:r>
    </w:p>
    <w:p>
      <w:pPr>
        <w:pStyle w:val="para7"/>
        <w:numPr>
          <w:ilvl w:val="0"/>
          <w:numId w:val="1"/>
        </w:numPr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приобретение светодиодных ламп для освещения мест общего пользования в сумме 876,20 рублей;</w:t>
      </w:r>
    </w:p>
    <w:p>
      <w:pPr>
        <w:pStyle w:val="para7"/>
        <w:numPr>
          <w:ilvl w:val="0"/>
          <w:numId w:val="1"/>
        </w:numPr>
        <w:ind w:left="0" w:firstLine="709"/>
        <w:spacing/>
        <w:jc w:val="both"/>
        <w:tabs>
          <w:tab w:val="left" w:pos="1418" w:leader="none"/>
        </w:tabs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приобретение расходных материалов для ручной уборки мест общего пользования не приняты к учету в связи с ненадлежащим оформлением документов в сумме 1 144,00 рублей;</w:t>
      </w:r>
    </w:p>
    <w:p>
      <w:pPr>
        <w:pStyle w:val="para7"/>
        <w:numPr>
          <w:ilvl w:val="0"/>
          <w:numId w:val="1"/>
        </w:numPr>
        <w:ind w:left="0" w:firstLine="709"/>
        <w:spacing/>
        <w:jc w:val="both"/>
        <w:tabs>
          <w:tab w:val="left" w:pos="1418" w:leader="none"/>
        </w:tabs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услуги по организации контроля въезда автотранспорта в поселок в сумме 551 875,00 рублей (не принята к учету в связи с ненадлежащим оформлением документов сумма 61 200,00 рублей);</w:t>
      </w:r>
    </w:p>
    <w:p>
      <w:pPr>
        <w:pStyle w:val="para7"/>
        <w:numPr>
          <w:ilvl w:val="0"/>
          <w:numId w:val="1"/>
        </w:numPr>
        <w:ind w:left="0" w:firstLine="709"/>
        <w:spacing/>
        <w:jc w:val="both"/>
        <w:tabs>
          <w:tab w:val="left" w:pos="1418" w:leader="none"/>
        </w:tabs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вывоз мусора с территории мест общего пользования в сумме 7 000,00 рублей не принят к учету в связи с ненадлежащим оформлением документов.   </w:t>
      </w:r>
    </w:p>
    <w:p>
      <w:pPr>
        <w:pStyle w:val="para7"/>
        <w:ind w:left="0"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Так же за 2017 год произведенные, но не предусмотренные сметой расходы составили в сумме 250 005,10 рублей (в т. ч. принятые к учету в сумме 171 077,10 рублей и непринятые к учету в связи с ненадлежащим оформлением документов в сумме 78 928,00 рублей), можно отнести к следующим статьям расходов сметы,</w:t>
      </w:r>
      <w:r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а именно:</w:t>
      </w:r>
      <w:r>
        <w:rPr>
          <w:rFonts w:eastAsia="Times New Roman"/>
          <w:color w:val="000000"/>
          <w:sz w:val="28"/>
          <w:szCs w:val="28"/>
        </w:rPr>
      </w:r>
    </w:p>
    <w:p>
      <w:pPr>
        <w:pStyle w:val="para7"/>
        <w:numPr>
          <w:ilvl w:val="0"/>
          <w:numId w:val="15"/>
        </w:numPr>
        <w:ind w:left="0"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приобретение оргтехники и инвентаря (здание Правления), информационных стендов и прожекторов (въезд в поселок) в сумме 10 760,00 рублей (не принята к учету в связи с ненадлежащим оформлением документов сумма 32 599,00 рублей);</w:t>
      </w:r>
    </w:p>
    <w:p>
      <w:pPr>
        <w:pStyle w:val="para7"/>
        <w:numPr>
          <w:ilvl w:val="0"/>
          <w:numId w:val="15"/>
        </w:numPr>
        <w:ind w:left="0"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расходы на ремонт помещений в здании Правления в сумме 28 572,10 рублей (не принята к учету в связи с ненадлежащим оформлением документов сумма 8 450,00 рублей);</w:t>
      </w:r>
    </w:p>
    <w:p>
      <w:pPr>
        <w:pStyle w:val="para7"/>
        <w:numPr>
          <w:ilvl w:val="0"/>
          <w:numId w:val="15"/>
        </w:numPr>
        <w:ind w:left="0"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оплата услуг нотариуса в сумме 4 000,00 рублей;</w:t>
      </w:r>
    </w:p>
    <w:p>
      <w:pPr>
        <w:pStyle w:val="para7"/>
        <w:numPr>
          <w:ilvl w:val="0"/>
          <w:numId w:val="15"/>
        </w:numPr>
        <w:ind w:left="0"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расходы на оплату услуг по оценке земельных участков в сумме 60 500,00 рублей;</w:t>
      </w:r>
    </w:p>
    <w:p>
      <w:pPr>
        <w:pStyle w:val="para7"/>
        <w:numPr>
          <w:ilvl w:val="0"/>
          <w:numId w:val="15"/>
        </w:numPr>
        <w:ind w:left="0"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расходы по уплате государственной пошлины в сумме 350,00 рублей (не принята к учету в связи с ненадлежащим оформлением документов сумма 22 250,00 рублей);</w:t>
      </w:r>
    </w:p>
    <w:p>
      <w:pPr>
        <w:pStyle w:val="para7"/>
        <w:numPr>
          <w:ilvl w:val="0"/>
          <w:numId w:val="15"/>
        </w:numPr>
        <w:ind w:left="0"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расходы на обслуживание инженерных сетей водоснабжения (насосная) в сумме 66 895,00 рублей (не принята к учету в связи с ненадлежащим оформлением документов сумма 15 629,00 рублей).</w:t>
      </w:r>
    </w:p>
    <w:p>
      <w:pPr>
        <w:pStyle w:val="para7"/>
        <w:ind w:left="0"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В связи с невозможностью определить статьи расходов сметы, произведенные расходы в сумме 18 379,50 рублей к учету не приняты.</w:t>
      </w:r>
    </w:p>
    <w:p>
      <w:pPr>
        <w:pStyle w:val="para7"/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</w:r>
    </w:p>
    <w:p>
      <w:pPr>
        <w:pStyle w:val="para7"/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- за 2018 год произведенные расходы в сумме 1 159 764,86 рубля (в т. ч. принятые к учету в сумме 1 021 657,40 рублей и непринятые к учету в связи с ненадлежащим оформлением документов в сумме 138 107,46 рублей) можно отнести к следующим статьям расходов сметы, а именно:</w:t>
      </w:r>
    </w:p>
    <w:p>
      <w:pPr>
        <w:pStyle w:val="para7"/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1.</w:t>
        <w:tab/>
        <w:t>расходы на оплату услуг бухгалтера в сумме 30 000,00 рублей (не принята к учету в связи с ненадлежащим оформлением документов сумма 30 000,00 рублей);</w:t>
      </w:r>
    </w:p>
    <w:p>
      <w:pPr>
        <w:pStyle w:val="para7"/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2.</w:t>
        <w:tab/>
        <w:t>расходы на почтовую связь для отправки корреспонденции в сумме 6 683,45 рублей;</w:t>
      </w:r>
    </w:p>
    <w:p>
      <w:pPr>
        <w:pStyle w:val="para7"/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3.</w:t>
        <w:tab/>
        <w:t>расходы на ведение банковского счета Товарищества в сумме</w:t>
      </w:r>
    </w:p>
    <w:p>
      <w:pPr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1 170,00 рублей;</w:t>
      </w:r>
    </w:p>
    <w:p>
      <w:pPr>
        <w:pStyle w:val="para7"/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4.</w:t>
        <w:tab/>
        <w:t>непредвиденные расходы в сумме 3 000,00 рублей (за аренду помещения для проведения собрания);</w:t>
      </w:r>
    </w:p>
    <w:p>
      <w:pPr>
        <w:pStyle w:val="para7"/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5.</w:t>
        <w:tab/>
        <w:t>ежегодные профилактические работы по обслуживанию и ремонту ТП и РП в сумме 54 078,81 рубль (не принята к учету в связи с ненадлежащим оформлением документов сумма 13 407,46 рублей);</w:t>
      </w:r>
    </w:p>
    <w:p>
      <w:pPr>
        <w:pStyle w:val="para7"/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6.</w:t>
        <w:tab/>
        <w:t>обслуживание инженерных сетей электроснабжения и ТП в сумме 100 102,25 рубля (не принята к учету в связи с ненадлежащим оформлением документов сумма 76 000,00 рублей);</w:t>
      </w:r>
    </w:p>
    <w:p>
      <w:pPr>
        <w:pStyle w:val="para7"/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7.</w:t>
        <w:tab/>
        <w:t>текущее обслуживание автоматического шлагбаума и устранение аварийных ситуаций в сумме 12 000,00 рублей не принято к учету в связи с ненадлежащим оформлением документов;</w:t>
      </w:r>
    </w:p>
    <w:p>
      <w:pPr>
        <w:pStyle w:val="para7"/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8.</w:t>
        <w:tab/>
        <w:t>механизированная уборка мест общего пользования от снега в сумме 60 120,00 рублей;</w:t>
      </w:r>
    </w:p>
    <w:p>
      <w:pPr>
        <w:pStyle w:val="para7"/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9.</w:t>
        <w:tab/>
        <w:t>механизированная уборка мест общего пользования в летнее время, посыпка дорог и проездов ПГС в сумме 4 700,00 рублей (не принята к учету в связи с ненадлежащим оформлением документов сумма 3 000,00 рублей);</w:t>
      </w:r>
    </w:p>
    <w:p>
      <w:pPr>
        <w:pStyle w:val="para7"/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10.</w:t>
        <w:tab/>
        <w:t>приобретение ПГС для посыпки дорог и проездов в летнее время в сумме 36 000,00 рублей;</w:t>
      </w:r>
    </w:p>
    <w:p>
      <w:pPr>
        <w:pStyle w:val="para7"/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11.</w:t>
        <w:tab/>
        <w:t>приобретение бумаги и иных канцелярских товаров в сумме 732,99 рубля;</w:t>
      </w:r>
    </w:p>
    <w:p>
      <w:pPr>
        <w:pStyle w:val="para7"/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12.</w:t>
        <w:tab/>
        <w:t>услуги по организации контроля въезда автотранспорта в поселок в сумме 706 850,00 рублей;</w:t>
      </w:r>
    </w:p>
    <w:p>
      <w:pPr>
        <w:pStyle w:val="para7"/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13.</w:t>
        <w:tab/>
        <w:t>оплата телефонной связи для службы охраны не приняты к учету в связи с ненадлежащим оформлением документов в сумме 500,00 рублей;</w:t>
      </w:r>
    </w:p>
    <w:p>
      <w:pPr>
        <w:pStyle w:val="para7"/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14.</w:t>
        <w:tab/>
        <w:t>вывоз мусора с территории мест общего пользования в сумме</w:t>
      </w:r>
    </w:p>
    <w:p>
      <w:pPr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14 000,00 рублей (субботник) (не принята к учету в связи с ненадлежащим оформлением документов сумма 3 200,00 рублей);</w:t>
      </w:r>
    </w:p>
    <w:p>
      <w:pPr>
        <w:pStyle w:val="para7"/>
        <w:numPr>
          <w:ilvl w:val="0"/>
          <w:numId w:val="1"/>
        </w:numPr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расходы на организацию ручной уборки мусора в весенне-летний период в сумме 4 219,90 рублей (субботник).</w:t>
      </w:r>
    </w:p>
    <w:p>
      <w:pPr>
        <w:pStyle w:val="para7"/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Так же за 2018 год произведенные, но не предусмотренные сметой расходы составили в сумме 257 948,27 рублей (в т. ч. принятые к учету в сумме 171 077,10 рублей и непринятые к учету в связи с ненадлежащим оформлением документов в сумме 78 928,00 рублей), можно отнести к следующим статьям расходов сметы, а именно:</w:t>
      </w:r>
    </w:p>
    <w:p>
      <w:pPr>
        <w:pStyle w:val="para7"/>
        <w:numPr>
          <w:ilvl w:val="0"/>
          <w:numId w:val="9"/>
        </w:numPr>
        <w:ind w:left="0"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приобретение инвентаря и жилетов (КПП), баннеров (въезд в поселок), материалов для изготовления вешек в сумме 6 070,65 рублей (не принята к учету в связи с ненадлежащим оформлением документов сумма 11 900,00 рублей);</w:t>
      </w:r>
    </w:p>
    <w:p>
      <w:pPr>
        <w:pStyle w:val="para7"/>
        <w:numPr>
          <w:ilvl w:val="0"/>
          <w:numId w:val="9"/>
        </w:numPr>
        <w:ind w:left="0"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оплата услуг нотариуса в сумме 5 500,00 рублей;</w:t>
      </w:r>
    </w:p>
    <w:p>
      <w:pPr>
        <w:pStyle w:val="para7"/>
        <w:numPr>
          <w:ilvl w:val="0"/>
          <w:numId w:val="9"/>
        </w:numPr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оплата задолженности по исполнительным производствам 2017 года, оплата услуг по юридическому сопровождению в сумме 29 613,69 рублей (не принята к учету в связи с ненадлежащим оформлением документов сумма </w:t>
      </w:r>
    </w:p>
    <w:p>
      <w:pPr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18 708,93 рублей);</w:t>
      </w:r>
    </w:p>
    <w:p>
      <w:pPr>
        <w:pStyle w:val="para7"/>
        <w:numPr>
          <w:ilvl w:val="0"/>
          <w:numId w:val="9"/>
        </w:numPr>
        <w:ind w:left="0"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расходы на оплату услуг по оценке земельных участков в сумме </w:t>
      </w:r>
    </w:p>
    <w:p>
      <w:pPr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8 270,00 рублей (не принята к учету в связи с ненадлежащим оформлением документов сумма 65 500,00 рублей);</w:t>
      </w:r>
    </w:p>
    <w:p>
      <w:pPr>
        <w:pStyle w:val="para7"/>
        <w:numPr>
          <w:ilvl w:val="0"/>
          <w:numId w:val="9"/>
        </w:numPr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расходы по уплате государственных пошлин для предоставления сведений в сумме 11 070,00 рублей (не принята к учету в связи с ненадлежащим оформлением документов сумма 44 800,00 рублей);</w:t>
      </w:r>
    </w:p>
    <w:p>
      <w:pPr>
        <w:pStyle w:val="para7"/>
        <w:numPr>
          <w:ilvl w:val="0"/>
          <w:numId w:val="9"/>
        </w:numPr>
        <w:ind w:left="0"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расходы на обслуживание инженерных сетей водоснабжения (насосная) в сумме 8 515,00 рублей;</w:t>
      </w:r>
    </w:p>
    <w:p>
      <w:pPr>
        <w:pStyle w:val="para7"/>
        <w:numPr>
          <w:ilvl w:val="0"/>
          <w:numId w:val="9"/>
        </w:numPr>
        <w:ind w:left="0"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расходы на оплату услуг по откачке фекальных и паводковых вод, очистке и промывке дренажных труб, увеличению высоты канализационных колодцев в сумме 48 000,00 рублей.</w:t>
      </w:r>
    </w:p>
    <w:p>
      <w:pPr>
        <w:pStyle w:val="para7"/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В связи с невозможностью определить статьи расходов сметы, произве-денные расходы в сумме 4 703,00 рубля к учету не приняты.</w:t>
      </w:r>
    </w:p>
    <w:p>
      <w:pPr>
        <w:ind w:firstLine="709"/>
        <w:spacing/>
        <w:jc w:val="both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</w:r>
    </w:p>
    <w:p>
      <w:pPr>
        <w:ind w:firstLine="709"/>
        <w:spacing/>
        <w:jc w:val="both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  <w:t>Рекомендовано:</w:t>
      </w:r>
    </w:p>
    <w:p>
      <w:pPr>
        <w:pStyle w:val="para7"/>
        <w:numPr>
          <w:ilvl w:val="0"/>
          <w:numId w:val="11"/>
        </w:numPr>
        <w:ind w:left="1068" w:hanging="360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Установить порядок внесения изменений в смету расходов.</w:t>
      </w:r>
    </w:p>
    <w:p>
      <w:pPr>
        <w:pStyle w:val="para7"/>
        <w:ind w:left="0" w:firstLine="708"/>
        <w:spacing/>
        <w:jc w:val="both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</w:r>
    </w:p>
    <w:p>
      <w:pPr>
        <w:pStyle w:val="para7"/>
        <w:ind w:left="0"/>
        <w:spacing/>
        <w:jc w:val="both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  <w:t>Раздел 6. Расходы на строительство и развитие инфраструктуры Товарищества.</w:t>
      </w:r>
    </w:p>
    <w:p>
      <w:pPr>
        <w:pStyle w:val="para7"/>
        <w:ind w:left="0"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</w:r>
    </w:p>
    <w:p>
      <w:pPr>
        <w:pStyle w:val="para7"/>
        <w:ind w:left="0"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Отдельная смета на строительство и развитие инфраструктуры по средствам, вносимыми собственниками на данное мероприятие (предусмотрены отдельные взносы собственников) не составлялась. </w:t>
      </w:r>
    </w:p>
    <w:p>
      <w:pPr>
        <w:pStyle w:val="para7"/>
        <w:ind w:left="0"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Из общей суммы расходования средств (отражены в пункте 5 раздела 2 «Доходы и расходы») к вышеуказанным расходам  можно отнести:</w:t>
      </w:r>
    </w:p>
    <w:p>
      <w:pPr>
        <w:pStyle w:val="para7"/>
        <w:ind w:left="0"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- за 2017 год в произведенные расходы за оплату работ по сборке, установке и подключению нового РЩ у земельного участка № 9 составили в сумме 75 000,00 рублей (не приняты к учету в связи с ненадлежащим оформлением документов);</w:t>
      </w:r>
    </w:p>
    <w:p>
      <w:pPr>
        <w:pStyle w:val="para7"/>
        <w:ind w:left="0"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- за 2018 год произведенные расходы составили в сумме 453 819,00 рублей (в т. ч. принятые к учету в сумме 233 365,00 рублей и непринятые к учету в связи с ненадлежащим оформлением документов в сумме 220 454,00 рублей), можно отнести к следующим статьям расходов сметы, а именно:</w:t>
      </w:r>
    </w:p>
    <w:p>
      <w:pPr>
        <w:pStyle w:val="para7"/>
        <w:numPr>
          <w:ilvl w:val="0"/>
          <w:numId w:val="4"/>
        </w:numPr>
        <w:ind w:left="0"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приобретение материалов для устранения нарушений, допущенных при сборке РЩ у земельного участка № 9 в 2017 году в сумме 165,00 рублей (не принята к учету в связи с ненадлежащим оформлением документов сумма 3 454,00 рублей);</w:t>
      </w:r>
    </w:p>
    <w:p>
      <w:pPr>
        <w:pStyle w:val="para7"/>
        <w:numPr>
          <w:ilvl w:val="0"/>
          <w:numId w:val="4"/>
        </w:numPr>
        <w:ind w:left="0"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оплата услуг по прокладке участка водоотведения в сумме 3 200,00 рублей (не принята к учету в связи с ненадлежащим оформлением документов сумма 140 000,00 рублей);</w:t>
      </w:r>
    </w:p>
    <w:p>
      <w:pPr>
        <w:pStyle w:val="para7"/>
        <w:numPr>
          <w:ilvl w:val="0"/>
          <w:numId w:val="4"/>
        </w:numPr>
        <w:ind w:left="0"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оплата услуг по переносу шлагбаума в сумме 77 000,00 рублей не принята к учету в связи с ненадлежащим оформлением документов;</w:t>
      </w:r>
    </w:p>
    <w:p>
      <w:pPr>
        <w:pStyle w:val="para7"/>
        <w:numPr>
          <w:ilvl w:val="0"/>
          <w:numId w:val="4"/>
        </w:numPr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оплата услуги по разработке проектно-сметной документации на строительство ЛЭП в сумме 230 000,00 рублей.</w:t>
      </w:r>
    </w:p>
    <w:p>
      <w:pPr>
        <w:pStyle w:val="para7"/>
        <w:ind w:left="0" w:firstLine="709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За 2018 год средства в сумме 220 454,00 рубля не приняты к учету по причинам, изложенным в пункте 5 раздела 2 «Доходы и расходы».</w:t>
      </w:r>
    </w:p>
    <w:p>
      <w:pPr>
        <w:pStyle w:val="para7"/>
        <w:ind w:left="0" w:firstLine="709"/>
        <w:spacing/>
        <w:jc w:val="both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  <w:t>Рекомендовано:</w:t>
      </w:r>
    </w:p>
    <w:p>
      <w:pPr>
        <w:pStyle w:val="para7"/>
        <w:numPr>
          <w:ilvl w:val="0"/>
          <w:numId w:val="8"/>
        </w:numPr>
        <w:ind w:left="0"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Составить отдельно смету с разбивкой по направлениям расходов за счет средств, вносимых собственниками на развитие инфраструктуры. </w:t>
      </w:r>
    </w:p>
    <w:p>
      <w:pPr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</w:r>
    </w:p>
    <w:p>
      <w:pPr>
        <w:pStyle w:val="para7"/>
        <w:ind w:left="-708" w:firstLine="708"/>
        <w:spacing/>
        <w:jc w:val="both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Раздел 7. Расчетный счет.</w:t>
      </w:r>
    </w:p>
    <w:p>
      <w:pPr>
        <w:pStyle w:val="para7"/>
        <w:ind w:left="-708"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</w:r>
    </w:p>
    <w:p>
      <w:pPr>
        <w:pStyle w:val="para7"/>
        <w:ind w:left="0"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Расчетный счет Товарищества открыт в ПАО Сбербанк России.</w:t>
      </w:r>
    </w:p>
    <w:p>
      <w:pPr>
        <w:ind w:firstLine="708"/>
        <w:spacing/>
        <w:jc w:val="both"/>
        <w:widowControl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Реквизиты расчетного счета: № 40703810641000100423 в отделении </w:t>
      </w:r>
    </w:p>
    <w:p>
      <w:pPr>
        <w:spacing/>
        <w:jc w:val="both"/>
        <w:widowControl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№ 8627 Сбербанка России г. Мурманск кор. счет 30101810300000000615, БИК 044705615.</w:t>
      </w:r>
    </w:p>
    <w:p>
      <w:pPr>
        <w:ind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Безналичные операции по расчетному счету Товариществом не производятся в связи со следующими ограничениями, установленными постановлениями судебных приставов-исполнителей по исполнению судебных решений и решений налоговых органов:</w:t>
      </w:r>
    </w:p>
    <w:p>
      <w:pPr>
        <w:pStyle w:val="para7"/>
        <w:numPr>
          <w:ilvl w:val="3"/>
          <w:numId w:val="1"/>
        </w:numPr>
        <w:ind w:left="993" w:hanging="284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Очередность: 3, дата 11.12.2017.</w:t>
      </w:r>
    </w:p>
    <w:p>
      <w:pPr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Арест по счету на сумму 1 637 915,69 рублей.</w:t>
      </w:r>
    </w:p>
    <w:p>
      <w:pPr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Основание: Постановление о наложении ареста № 328464926/5102 от 08.12.2017, делопроизводство 12120/16/51002-СД от 25.02.2016, выдан ОСП Ленинского округа г. Мурманска;</w:t>
      </w:r>
    </w:p>
    <w:p>
      <w:pPr>
        <w:ind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2. Очерёдность: 3, дата 14.05.2015.</w:t>
      </w:r>
    </w:p>
    <w:p>
      <w:pPr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Приостановление операций по счету выше очередности на сумму 234 640,61 рублей.</w:t>
      </w:r>
    </w:p>
    <w:p>
      <w:pPr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Источник: ИФНС России по г. Мурманску</w:t>
      </w:r>
    </w:p>
    <w:p>
      <w:pPr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Основание: Неисполнение требования об уплате налога, сбора, пени, штрафа (п. 2 ст. 76 НК РФ);</w:t>
      </w:r>
    </w:p>
    <w:p>
      <w:pPr>
        <w:ind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3. Очерёдность: 3, дата 28.01.2015.</w:t>
      </w:r>
    </w:p>
    <w:p>
      <w:pPr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Приостановление операций по счету выше очередности на сумму 63 315,84 рублей.</w:t>
      </w:r>
    </w:p>
    <w:p>
      <w:pPr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Источник: Межрайонная ИФНС России № 7 по Мурманской области</w:t>
      </w:r>
    </w:p>
    <w:p>
      <w:pPr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Основание: Неисполнение требования об уплате налога, сбора, пени, штрафа (п. 2 ст. 76 НК РФ);</w:t>
      </w:r>
    </w:p>
    <w:p>
      <w:pPr>
        <w:ind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4. Очерёдность: 3, дата 02.03.2016</w:t>
      </w:r>
    </w:p>
    <w:p>
      <w:pPr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Приостановление операций по счету выше очередности на сумму 1 813,05 рублей.</w:t>
      </w:r>
    </w:p>
    <w:p>
      <w:pPr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Источник: ИФНС России по г. Мурманску</w:t>
      </w:r>
    </w:p>
    <w:p>
      <w:pPr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Основание: Неисполнение требования об уплате налога, сбора, пени, штрафа (п. 2 ст. 76 НК РФ);</w:t>
      </w:r>
    </w:p>
    <w:p>
      <w:pPr>
        <w:ind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5. Очерёдность: 3, дата 31.08.2015</w:t>
      </w:r>
    </w:p>
    <w:p>
      <w:pPr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Приостановление операций по счету выше очередности на сумму 6 637,57 руб. </w:t>
      </w:r>
    </w:p>
    <w:p>
      <w:pPr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Источник: ИФНС России по г. Мурманску</w:t>
      </w:r>
    </w:p>
    <w:p>
      <w:pPr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Основание: Неисполнение требования об уплате налога, сбора, пени, штрафа (п. 2 ст. 76 НК РФ).</w:t>
      </w:r>
    </w:p>
    <w:p>
      <w:pPr>
        <w:ind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Согласно Выписке из лицевого счета 10 документов, помещены в картотеку (к счету 90902) на общую сумму  633 875,70 рублей. 33 документа, ожидают разрешения на проведение операций (к счету 90901) на общую сумму 9 805 694,73 рубле</w:t>
      </w:r>
    </w:p>
    <w:p>
      <w:pPr>
        <w:ind w:firstLine="708"/>
        <w: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</w:r>
    </w:p>
    <w:p>
      <w:pPr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  <w:t>ВЫВОДЫ:</w:t>
      </w:r>
      <w:r>
        <w:rPr>
          <w:rFonts w:eastAsia="Times New Roman"/>
          <w:color w:val="000000"/>
          <w:sz w:val="28"/>
          <w:szCs w:val="28"/>
        </w:rPr>
        <w:t> </w:t>
      </w:r>
    </w:p>
    <w:p>
      <w:pPr>
        <w:ind w:firstLine="708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Проведенная ревизия предоставляет достаточные основания для выражения мнения о степени достоверности существенных фактов хозяйственной деятельности и отчетности СНТСН «Полярная усадьба».</w:t>
        <w:br w:type="textWrapping"/>
        <w:tab/>
      </w:r>
    </w:p>
    <w:p>
      <w:pPr>
        <w:spacing/>
        <w:jc w:val="center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  <w:t>ЗАКЛЮЧЕНИЕ</w:t>
      </w:r>
    </w:p>
    <w:p>
      <w:pPr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</w:r>
    </w:p>
    <w:p>
      <w:pPr>
        <w:ind w:firstLine="708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Считаю общую хозяйственно-финансовую деятельность СНТСН «Полярная усадьба», с учетом условий, в которых она осуществлялась, удовлетворительной.</w:t>
      </w:r>
    </w:p>
    <w:p>
      <w:pPr>
        <w:ind w:firstLine="708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Имеются в виду условия недостаточного финансирования, то есть неполной уплаты членских взносов; невозможности использования расчетного счета и безналичных расчетов; отсутствие персонала.</w:t>
      </w:r>
    </w:p>
    <w:p>
      <w:pPr>
        <w:ind w:firstLine="708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</w:r>
    </w:p>
    <w:p>
      <w:pPr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</w:r>
    </w:p>
    <w:p>
      <w:pPr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Ревизор СНТСН «Полярная усадьба»                                                  Е.С. Рогачева</w:t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headerReference w:type="default" r:id="rId8"/>
      <w:type w:val="continuous"/>
      <w:pgSz w:h="16839" w:w="11907"/>
      <w:pgMar w:left="1134" w:top="1134" w:right="1134" w:bottom="1134" w:header="567"/>
      <w:paperSrc w:first="0" w:other="0"/>
      <w:pgNumType w:fmt="decimal"/>
      <w:tmGutter w:val="3"/>
      <w:mirrorMargins w:val="0"/>
      <w:tmSection w:h="-2">
        <w:tmHeader w:id="0" w:h="0" edge="567" text="0">
          <w:shd w:val="none"/>
        </w:tmHeader>
      </w:tmSection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  <w:font w:name="Helvetica">
    <w:panose1 w:val="020B0604020202020204"/>
    <w:charset w:val="cc"/>
    <w:family w:val="swiss"/>
    <w:pitch w:val="default"/>
  </w:font>
  <w:font w:name="Arial Unicode MS">
    <w:panose1 w:val="02020603050405020304"/>
    <w:charset w:val="00"/>
    <w:family w:val="roman"/>
    <w:pitch w:val="default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para9"/>
      <w:spacing/>
      <w:jc w:val="right"/>
    </w:pPr>
    <w:r>
      <w:fldChar w:fldCharType="begin"/>
      <w:instrText xml:space="preserve"> PAGE </w:instrText>
      <w:fldChar w:fldCharType="separate"/>
      <w:t>1</w:t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  <w:rPr/>
    </w:lvl>
  </w:abstractNum>
  <w:abstractNum w:abstractNumId="1">
    <w:multiLevelType w:val="hybridMultilevel"/>
    <w:name w:val="Нумерованный список 3"/>
    <w:lvl w:ilvl="0">
      <w:start w:val="1"/>
      <w:numFmt w:val="decimal"/>
      <w:suff w:val="tab"/>
      <w:lvlText w:val="%1."/>
      <w:lvlJc w:val="left"/>
      <w:pPr>
        <w:ind w:left="709" w:hanging="0"/>
      </w:pPr>
      <w:rPr/>
    </w:lvl>
    <w:lvl w:ilvl="1">
      <w:start w:val="1"/>
      <w:numFmt w:val="lowerLetter"/>
      <w:suff w:val="tab"/>
      <w:lvlText w:val="%2."/>
      <w:lvlJc w:val="left"/>
      <w:pPr>
        <w:ind w:left="1429" w:hanging="0"/>
      </w:pPr>
      <w:rPr/>
    </w:lvl>
    <w:lvl w:ilvl="2">
      <w:start w:val="1"/>
      <w:numFmt w:val="lowerRoman"/>
      <w:suff w:val="tab"/>
      <w:lvlText w:val="%3."/>
      <w:lvlJc w:val="left"/>
      <w:pPr>
        <w:ind w:left="2329" w:hanging="0"/>
      </w:pPr>
      <w:rPr/>
    </w:lvl>
    <w:lvl w:ilvl="3">
      <w:start w:val="1"/>
      <w:numFmt w:val="decimal"/>
      <w:suff w:val="tab"/>
      <w:lvlText w:val="%4."/>
      <w:lvlJc w:val="left"/>
      <w:pPr>
        <w:ind w:left="2869" w:hanging="0"/>
      </w:pPr>
      <w:rPr/>
    </w:lvl>
    <w:lvl w:ilvl="4">
      <w:start w:val="1"/>
      <w:numFmt w:val="lowerLetter"/>
      <w:suff w:val="tab"/>
      <w:lvlText w:val="%5."/>
      <w:lvlJc w:val="left"/>
      <w:pPr>
        <w:ind w:left="3589" w:hanging="0"/>
      </w:pPr>
      <w:rPr/>
    </w:lvl>
    <w:lvl w:ilvl="5">
      <w:start w:val="1"/>
      <w:numFmt w:val="lowerRoman"/>
      <w:suff w:val="tab"/>
      <w:lvlText w:val="%6."/>
      <w:lvlJc w:val="left"/>
      <w:pPr>
        <w:ind w:left="4489" w:hanging="0"/>
      </w:pPr>
      <w:rPr/>
    </w:lvl>
    <w:lvl w:ilvl="6">
      <w:start w:val="1"/>
      <w:numFmt w:val="decimal"/>
      <w:suff w:val="tab"/>
      <w:lvlText w:val="%7."/>
      <w:lvlJc w:val="left"/>
      <w:pPr>
        <w:ind w:left="5029" w:hanging="0"/>
      </w:pPr>
      <w:rPr/>
    </w:lvl>
    <w:lvl w:ilvl="7">
      <w:start w:val="1"/>
      <w:numFmt w:val="lowerLetter"/>
      <w:suff w:val="tab"/>
      <w:lvlText w:val="%8."/>
      <w:lvlJc w:val="left"/>
      <w:pPr>
        <w:ind w:left="5749" w:hanging="0"/>
      </w:pPr>
      <w:rPr/>
    </w:lvl>
    <w:lvl w:ilvl="8">
      <w:start w:val="1"/>
      <w:numFmt w:val="lowerRoman"/>
      <w:suff w:val="tab"/>
      <w:lvlText w:val="%9."/>
      <w:lvlJc w:val="left"/>
      <w:pPr>
        <w:ind w:left="6649" w:hanging="0"/>
      </w:pPr>
      <w:rPr/>
    </w:lvl>
  </w:abstractNum>
  <w:abstractNum w:abstractNumId="2">
    <w:multiLevelType w:val="hybridMultilevel"/>
    <w:name w:val="Нумерованный список 1"/>
    <w:lvl w:ilvl="0">
      <w:start w:val="1"/>
      <w:numFmt w:val="decimal"/>
      <w:suff w:val="tab"/>
      <w:lvlText w:val="%1."/>
      <w:lvlJc w:val="left"/>
      <w:pPr>
        <w:ind w:left="851" w:hanging="0"/>
      </w:pPr>
      <w:rPr/>
    </w:lvl>
    <w:lvl w:ilvl="1">
      <w:start w:val="1"/>
      <w:numFmt w:val="lowerLetter"/>
      <w:suff w:val="tab"/>
      <w:lvlText w:val="%2."/>
      <w:lvlJc w:val="left"/>
      <w:pPr>
        <w:ind w:left="1571" w:hanging="0"/>
      </w:pPr>
      <w:rPr/>
    </w:lvl>
    <w:lvl w:ilvl="2">
      <w:start w:val="1"/>
      <w:numFmt w:val="lowerRoman"/>
      <w:suff w:val="tab"/>
      <w:lvlText w:val="%3."/>
      <w:lvlJc w:val="left"/>
      <w:pPr>
        <w:ind w:left="2471" w:hanging="0"/>
      </w:pPr>
      <w:rPr/>
    </w:lvl>
    <w:lvl w:ilvl="3">
      <w:start w:val="1"/>
      <w:numFmt w:val="decimal"/>
      <w:suff w:val="tab"/>
      <w:lvlText w:val="%4."/>
      <w:lvlJc w:val="left"/>
      <w:pPr>
        <w:ind w:left="3011" w:hanging="0"/>
      </w:pPr>
      <w:rPr/>
    </w:lvl>
    <w:lvl w:ilvl="4">
      <w:start w:val="1"/>
      <w:numFmt w:val="lowerLetter"/>
      <w:suff w:val="tab"/>
      <w:lvlText w:val="%5."/>
      <w:lvlJc w:val="left"/>
      <w:pPr>
        <w:ind w:left="3731" w:hanging="0"/>
      </w:pPr>
      <w:rPr/>
    </w:lvl>
    <w:lvl w:ilvl="5">
      <w:start w:val="1"/>
      <w:numFmt w:val="lowerRoman"/>
      <w:suff w:val="tab"/>
      <w:lvlText w:val="%6."/>
      <w:lvlJc w:val="left"/>
      <w:pPr>
        <w:ind w:left="4631" w:hanging="0"/>
      </w:pPr>
      <w:rPr/>
    </w:lvl>
    <w:lvl w:ilvl="6">
      <w:start w:val="1"/>
      <w:numFmt w:val="decimal"/>
      <w:suff w:val="tab"/>
      <w:lvlText w:val="%7."/>
      <w:lvlJc w:val="left"/>
      <w:pPr>
        <w:ind w:left="5171" w:hanging="0"/>
      </w:pPr>
      <w:rPr/>
    </w:lvl>
    <w:lvl w:ilvl="7">
      <w:start w:val="1"/>
      <w:numFmt w:val="lowerLetter"/>
      <w:suff w:val="tab"/>
      <w:lvlText w:val="%8."/>
      <w:lvlJc w:val="left"/>
      <w:pPr>
        <w:ind w:left="5891" w:hanging="0"/>
      </w:pPr>
      <w:rPr/>
    </w:lvl>
    <w:lvl w:ilvl="8">
      <w:start w:val="1"/>
      <w:numFmt w:val="lowerRoman"/>
      <w:suff w:val="tab"/>
      <w:lvlText w:val="%9."/>
      <w:lvlJc w:val="left"/>
      <w:pPr>
        <w:ind w:left="6791" w:hanging="0"/>
      </w:pPr>
      <w:rPr/>
    </w:lvl>
  </w:abstractNum>
  <w:abstractNum w:abstractNumId="3">
    <w:multiLevelType w:val="hybridMultilevel"/>
    <w:name w:val="Нумерованный список 12"/>
    <w:lvl w:ilvl="0">
      <w:start w:val="1"/>
      <w:numFmt w:val="decimal"/>
      <w:suff w:val="tab"/>
      <w:lvlText w:val="%1."/>
      <w:lvlJc w:val="left"/>
      <w:pPr>
        <w:ind w:left="851" w:hanging="0"/>
      </w:pPr>
      <w:rPr/>
    </w:lvl>
    <w:lvl w:ilvl="1">
      <w:start w:val="1"/>
      <w:numFmt w:val="lowerLetter"/>
      <w:suff w:val="tab"/>
      <w:lvlText w:val="%2."/>
      <w:lvlJc w:val="left"/>
      <w:pPr>
        <w:ind w:left="1571" w:hanging="0"/>
      </w:pPr>
      <w:rPr/>
    </w:lvl>
    <w:lvl w:ilvl="2">
      <w:start w:val="1"/>
      <w:numFmt w:val="lowerRoman"/>
      <w:suff w:val="tab"/>
      <w:lvlText w:val="%3."/>
      <w:lvlJc w:val="left"/>
      <w:pPr>
        <w:ind w:left="2471" w:hanging="0"/>
      </w:pPr>
      <w:rPr/>
    </w:lvl>
    <w:lvl w:ilvl="3">
      <w:start w:val="1"/>
      <w:numFmt w:val="decimal"/>
      <w:suff w:val="tab"/>
      <w:lvlText w:val="%4."/>
      <w:lvlJc w:val="left"/>
      <w:pPr>
        <w:ind w:left="3011" w:hanging="0"/>
      </w:pPr>
      <w:rPr/>
    </w:lvl>
    <w:lvl w:ilvl="4">
      <w:start w:val="1"/>
      <w:numFmt w:val="lowerLetter"/>
      <w:suff w:val="tab"/>
      <w:lvlText w:val="%5."/>
      <w:lvlJc w:val="left"/>
      <w:pPr>
        <w:ind w:left="3731" w:hanging="0"/>
      </w:pPr>
      <w:rPr/>
    </w:lvl>
    <w:lvl w:ilvl="5">
      <w:start w:val="1"/>
      <w:numFmt w:val="lowerRoman"/>
      <w:suff w:val="tab"/>
      <w:lvlText w:val="%6."/>
      <w:lvlJc w:val="left"/>
      <w:pPr>
        <w:ind w:left="4631" w:hanging="0"/>
      </w:pPr>
      <w:rPr/>
    </w:lvl>
    <w:lvl w:ilvl="6">
      <w:start w:val="1"/>
      <w:numFmt w:val="decimal"/>
      <w:suff w:val="tab"/>
      <w:lvlText w:val="%7."/>
      <w:lvlJc w:val="left"/>
      <w:pPr>
        <w:ind w:left="5171" w:hanging="0"/>
      </w:pPr>
      <w:rPr/>
    </w:lvl>
    <w:lvl w:ilvl="7">
      <w:start w:val="1"/>
      <w:numFmt w:val="lowerLetter"/>
      <w:suff w:val="tab"/>
      <w:lvlText w:val="%8."/>
      <w:lvlJc w:val="left"/>
      <w:pPr>
        <w:ind w:left="5891" w:hanging="0"/>
      </w:pPr>
      <w:rPr/>
    </w:lvl>
    <w:lvl w:ilvl="8">
      <w:start w:val="1"/>
      <w:numFmt w:val="lowerRoman"/>
      <w:suff w:val="tab"/>
      <w:lvlText w:val="%9."/>
      <w:lvlJc w:val="left"/>
      <w:pPr>
        <w:ind w:left="6791" w:hanging="0"/>
      </w:pPr>
      <w:rPr/>
    </w:lvl>
  </w:abstractNum>
  <w:abstractNum w:abstractNumId="4">
    <w:multiLevelType w:val="hybridMultilevel"/>
    <w:name w:val="Нумерованный список 5"/>
    <w:lvl w:ilvl="0">
      <w:start w:val="1"/>
      <w:numFmt w:val="decimal"/>
      <w:suff w:val="tab"/>
      <w:lvlText w:val="%1."/>
      <w:lvlJc w:val="left"/>
      <w:pPr>
        <w:ind w:left="708" w:hanging="0"/>
      </w:pPr>
      <w:rPr/>
    </w:lvl>
    <w:lvl w:ilvl="1">
      <w:start w:val="1"/>
      <w:numFmt w:val="lowerLetter"/>
      <w:suff w:val="tab"/>
      <w:lvlText w:val="%2."/>
      <w:lvlJc w:val="left"/>
      <w:pPr>
        <w:ind w:left="1428" w:hanging="0"/>
      </w:pPr>
      <w:rPr/>
    </w:lvl>
    <w:lvl w:ilvl="2">
      <w:start w:val="1"/>
      <w:numFmt w:val="lowerRoman"/>
      <w:suff w:val="tab"/>
      <w:lvlText w:val="%3."/>
      <w:lvlJc w:val="left"/>
      <w:pPr>
        <w:ind w:left="2328" w:hanging="0"/>
      </w:pPr>
      <w:rPr/>
    </w:lvl>
    <w:lvl w:ilvl="3">
      <w:start w:val="1"/>
      <w:numFmt w:val="decimal"/>
      <w:suff w:val="tab"/>
      <w:lvlText w:val="%4."/>
      <w:lvlJc w:val="left"/>
      <w:pPr>
        <w:ind w:left="2868" w:hanging="0"/>
      </w:pPr>
      <w:rPr/>
    </w:lvl>
    <w:lvl w:ilvl="4">
      <w:start w:val="1"/>
      <w:numFmt w:val="lowerLetter"/>
      <w:suff w:val="tab"/>
      <w:lvlText w:val="%5."/>
      <w:lvlJc w:val="left"/>
      <w:pPr>
        <w:ind w:left="3588" w:hanging="0"/>
      </w:pPr>
      <w:rPr/>
    </w:lvl>
    <w:lvl w:ilvl="5">
      <w:start w:val="1"/>
      <w:numFmt w:val="lowerRoman"/>
      <w:suff w:val="tab"/>
      <w:lvlText w:val="%6."/>
      <w:lvlJc w:val="left"/>
      <w:pPr>
        <w:ind w:left="4488" w:hanging="0"/>
      </w:pPr>
      <w:rPr/>
    </w:lvl>
    <w:lvl w:ilvl="6">
      <w:start w:val="1"/>
      <w:numFmt w:val="decimal"/>
      <w:suff w:val="tab"/>
      <w:lvlText w:val="%7."/>
      <w:lvlJc w:val="left"/>
      <w:pPr>
        <w:ind w:left="5028" w:hanging="0"/>
      </w:pPr>
      <w:rPr/>
    </w:lvl>
    <w:lvl w:ilvl="7">
      <w:start w:val="1"/>
      <w:numFmt w:val="lowerLetter"/>
      <w:suff w:val="tab"/>
      <w:lvlText w:val="%8."/>
      <w:lvlJc w:val="left"/>
      <w:pPr>
        <w:ind w:left="5748" w:hanging="0"/>
      </w:pPr>
      <w:rPr/>
    </w:lvl>
    <w:lvl w:ilvl="8">
      <w:start w:val="1"/>
      <w:numFmt w:val="lowerRoman"/>
      <w:suff w:val="tab"/>
      <w:lvlText w:val="%9."/>
      <w:lvlJc w:val="left"/>
      <w:pPr>
        <w:ind w:left="6648" w:hanging="0"/>
      </w:pPr>
      <w:rPr/>
    </w:lvl>
  </w:abstractNum>
  <w:abstractNum w:abstractNumId="5">
    <w:multiLevelType w:val="hybridMultilevel"/>
    <w:name w:val="Нумерованный список 8"/>
    <w:lvl w:ilvl="0">
      <w:start w:val="1"/>
      <w:numFmt w:val="decimal"/>
      <w:suff w:val="tab"/>
      <w:lvlText w:val="%1."/>
      <w:lvlJc w:val="left"/>
      <w:pPr>
        <w:ind w:left="1135" w:hanging="0"/>
      </w:pPr>
      <w:rPr/>
    </w:lvl>
    <w:lvl w:ilvl="1">
      <w:start w:val="1"/>
      <w:numFmt w:val="lowerLetter"/>
      <w:suff w:val="tab"/>
      <w:lvlText w:val="%2."/>
      <w:lvlJc w:val="left"/>
      <w:pPr>
        <w:ind w:left="1428" w:hanging="0"/>
      </w:pPr>
      <w:rPr/>
    </w:lvl>
    <w:lvl w:ilvl="2">
      <w:start w:val="1"/>
      <w:numFmt w:val="lowerRoman"/>
      <w:suff w:val="tab"/>
      <w:lvlText w:val="%3."/>
      <w:lvlJc w:val="left"/>
      <w:pPr>
        <w:ind w:left="2328" w:hanging="0"/>
      </w:pPr>
      <w:rPr/>
    </w:lvl>
    <w:lvl w:ilvl="3">
      <w:start w:val="1"/>
      <w:numFmt w:val="decimal"/>
      <w:suff w:val="tab"/>
      <w:lvlText w:val="%4."/>
      <w:lvlJc w:val="left"/>
      <w:pPr>
        <w:ind w:left="2868" w:hanging="0"/>
      </w:pPr>
      <w:rPr/>
    </w:lvl>
    <w:lvl w:ilvl="4">
      <w:start w:val="1"/>
      <w:numFmt w:val="lowerLetter"/>
      <w:suff w:val="tab"/>
      <w:lvlText w:val="%5."/>
      <w:lvlJc w:val="left"/>
      <w:pPr>
        <w:ind w:left="3588" w:hanging="0"/>
      </w:pPr>
      <w:rPr/>
    </w:lvl>
    <w:lvl w:ilvl="5">
      <w:start w:val="1"/>
      <w:numFmt w:val="lowerRoman"/>
      <w:suff w:val="tab"/>
      <w:lvlText w:val="%6."/>
      <w:lvlJc w:val="left"/>
      <w:pPr>
        <w:ind w:left="4488" w:hanging="0"/>
      </w:pPr>
      <w:rPr/>
    </w:lvl>
    <w:lvl w:ilvl="6">
      <w:start w:val="1"/>
      <w:numFmt w:val="decimal"/>
      <w:suff w:val="tab"/>
      <w:lvlText w:val="%7."/>
      <w:lvlJc w:val="left"/>
      <w:pPr>
        <w:ind w:left="5028" w:hanging="0"/>
      </w:pPr>
      <w:rPr/>
    </w:lvl>
    <w:lvl w:ilvl="7">
      <w:start w:val="1"/>
      <w:numFmt w:val="lowerLetter"/>
      <w:suff w:val="tab"/>
      <w:lvlText w:val="%8."/>
      <w:lvlJc w:val="left"/>
      <w:pPr>
        <w:ind w:left="5748" w:hanging="0"/>
      </w:pPr>
      <w:rPr/>
    </w:lvl>
    <w:lvl w:ilvl="8">
      <w:start w:val="1"/>
      <w:numFmt w:val="lowerRoman"/>
      <w:suff w:val="tab"/>
      <w:lvlText w:val="%9."/>
      <w:lvlJc w:val="left"/>
      <w:pPr>
        <w:ind w:left="6648" w:hanging="0"/>
      </w:pPr>
      <w:rPr/>
    </w:lvl>
  </w:abstractNum>
  <w:abstractNum w:abstractNumId="6">
    <w:multiLevelType w:val="hybridMultilevel"/>
    <w:name w:val="Нумерованный список 13"/>
    <w:lvl w:ilvl="0">
      <w:start w:val="0"/>
      <w:numFmt w:val="none"/>
      <w:suff w:val="tab"/>
      <w:lvlText w:val=""/>
      <w:lvlJc w:val="left"/>
      <w:pPr>
        <w:ind w:left="0" w:hanging="0"/>
      </w:pPr>
      <w:rPr/>
    </w:lvl>
    <w:lvl w:ilvl="1">
      <w:start w:val="0"/>
      <w:numFmt w:val="none"/>
      <w:suff w:val="tab"/>
      <w:lvlText w:val=""/>
      <w:lvlJc w:val="left"/>
      <w:pPr>
        <w:ind w:left="0" w:hanging="0"/>
      </w:pPr>
      <w:rPr/>
    </w:lvl>
    <w:lvl w:ilvl="2">
      <w:start w:val="0"/>
      <w:numFmt w:val="none"/>
      <w:suff w:val="tab"/>
      <w:lvlText w:val=""/>
      <w:lvlJc w:val="left"/>
      <w:pPr>
        <w:ind w:left="0" w:hanging="0"/>
      </w:pPr>
      <w:rPr/>
    </w:lvl>
    <w:lvl w:ilvl="3">
      <w:start w:val="0"/>
      <w:numFmt w:val="none"/>
      <w:suff w:val="tab"/>
      <w:lvlText w:val=""/>
      <w:lvlJc w:val="left"/>
      <w:pPr>
        <w:ind w:left="0" w:hanging="0"/>
      </w:pPr>
      <w:rPr/>
    </w:lvl>
    <w:lvl w:ilvl="4">
      <w:start w:val="0"/>
      <w:numFmt w:val="none"/>
      <w:suff w:val="tab"/>
      <w:lvlText w:val=""/>
      <w:lvlJc w:val="left"/>
      <w:pPr>
        <w:ind w:left="0" w:hanging="0"/>
      </w:pPr>
      <w:rPr/>
    </w:lvl>
    <w:lvl w:ilvl="5">
      <w:start w:val="0"/>
      <w:numFmt w:val="none"/>
      <w:suff w:val="tab"/>
      <w:lvlText w:val=""/>
      <w:lvlJc w:val="left"/>
      <w:pPr>
        <w:ind w:left="0" w:hanging="0"/>
      </w:pPr>
      <w:rPr/>
    </w:lvl>
    <w:lvl w:ilvl="6">
      <w:start w:val="0"/>
      <w:numFmt w:val="none"/>
      <w:suff w:val="tab"/>
      <w:lvlText w:val=""/>
      <w:lvlJc w:val="left"/>
      <w:pPr>
        <w:ind w:left="0" w:hanging="0"/>
      </w:pPr>
      <w:rPr/>
    </w:lvl>
    <w:lvl w:ilvl="7">
      <w:start w:val="0"/>
      <w:numFmt w:val="none"/>
      <w:suff w:val="tab"/>
      <w:lvlText w:val=""/>
      <w:lvlJc w:val="left"/>
      <w:pPr>
        <w:ind w:left="0" w:hanging="0"/>
      </w:pPr>
      <w:rPr/>
    </w:lvl>
    <w:lvl w:ilvl="8">
      <w:start w:val="0"/>
      <w:numFmt w:val="none"/>
      <w:suff w:val="tab"/>
      <w:lvlText w:val=""/>
      <w:lvlJc w:val="left"/>
      <w:pPr>
        <w:ind w:left="0" w:hanging="0"/>
      </w:pPr>
      <w:rPr/>
    </w:lvl>
  </w:abstractNum>
  <w:abstractNum w:abstractNumId="7">
    <w:multiLevelType w:val="hybridMultilevel"/>
    <w:name w:val="Нумерованный список 7"/>
    <w:lvl w:ilvl="0">
      <w:start w:val="1"/>
      <w:numFmt w:val="decimal"/>
      <w:suff w:val="tab"/>
      <w:lvlText w:val="%1."/>
      <w:lvlJc w:val="left"/>
      <w:pPr>
        <w:ind w:left="851" w:hanging="0"/>
      </w:pPr>
      <w:rPr/>
    </w:lvl>
    <w:lvl w:ilvl="1">
      <w:start w:val="1"/>
      <w:numFmt w:val="lowerLetter"/>
      <w:suff w:val="tab"/>
      <w:lvlText w:val="%2."/>
      <w:lvlJc w:val="left"/>
      <w:pPr>
        <w:ind w:left="1429" w:hanging="0"/>
      </w:pPr>
      <w:rPr/>
    </w:lvl>
    <w:lvl w:ilvl="2">
      <w:start w:val="1"/>
      <w:numFmt w:val="lowerRoman"/>
      <w:suff w:val="tab"/>
      <w:lvlText w:val="%3."/>
      <w:lvlJc w:val="left"/>
      <w:pPr>
        <w:ind w:left="2329" w:hanging="0"/>
      </w:pPr>
      <w:rPr/>
    </w:lvl>
    <w:lvl w:ilvl="3">
      <w:start w:val="1"/>
      <w:numFmt w:val="decimal"/>
      <w:suff w:val="tab"/>
      <w:lvlText w:val="%4."/>
      <w:lvlJc w:val="left"/>
      <w:pPr>
        <w:ind w:left="2869" w:hanging="0"/>
      </w:pPr>
      <w:rPr/>
    </w:lvl>
    <w:lvl w:ilvl="4">
      <w:start w:val="1"/>
      <w:numFmt w:val="lowerLetter"/>
      <w:suff w:val="tab"/>
      <w:lvlText w:val="%5."/>
      <w:lvlJc w:val="left"/>
      <w:pPr>
        <w:ind w:left="3589" w:hanging="0"/>
      </w:pPr>
      <w:rPr/>
    </w:lvl>
    <w:lvl w:ilvl="5">
      <w:start w:val="1"/>
      <w:numFmt w:val="lowerRoman"/>
      <w:suff w:val="tab"/>
      <w:lvlText w:val="%6."/>
      <w:lvlJc w:val="left"/>
      <w:pPr>
        <w:ind w:left="4489" w:hanging="0"/>
      </w:pPr>
      <w:rPr/>
    </w:lvl>
    <w:lvl w:ilvl="6">
      <w:start w:val="1"/>
      <w:numFmt w:val="decimal"/>
      <w:suff w:val="tab"/>
      <w:lvlText w:val="%7."/>
      <w:lvlJc w:val="left"/>
      <w:pPr>
        <w:ind w:left="5029" w:hanging="0"/>
      </w:pPr>
      <w:rPr/>
    </w:lvl>
    <w:lvl w:ilvl="7">
      <w:start w:val="1"/>
      <w:numFmt w:val="lowerLetter"/>
      <w:suff w:val="tab"/>
      <w:lvlText w:val="%8."/>
      <w:lvlJc w:val="left"/>
      <w:pPr>
        <w:ind w:left="5749" w:hanging="0"/>
      </w:pPr>
      <w:rPr/>
    </w:lvl>
    <w:lvl w:ilvl="8">
      <w:start w:val="1"/>
      <w:numFmt w:val="lowerRoman"/>
      <w:suff w:val="tab"/>
      <w:lvlText w:val="%9."/>
      <w:lvlJc w:val="left"/>
      <w:pPr>
        <w:ind w:left="6649" w:hanging="0"/>
      </w:pPr>
      <w:rPr/>
    </w:lvl>
  </w:abstractNum>
  <w:abstractNum w:abstractNumId="8">
    <w:multiLevelType w:val="hybridMultilevel"/>
    <w:name w:val="Нумерованный список 11"/>
    <w:lvl w:ilvl="0">
      <w:start w:val="1"/>
      <w:numFmt w:val="decimal"/>
      <w:suff w:val="tab"/>
      <w:lvlText w:val="%1."/>
      <w:lvlJc w:val="left"/>
      <w:pPr>
        <w:ind w:left="708" w:hanging="0"/>
      </w:pPr>
      <w:rPr>
        <w:rPr>
          <w:color w:val="auto"/>
        </w:rPr>
      </w:rPr>
    </w:lvl>
    <w:lvl w:ilvl="1">
      <w:start w:val="1"/>
      <w:numFmt w:val="lowerLetter"/>
      <w:suff w:val="tab"/>
      <w:lvlText w:val="%2."/>
      <w:lvlJc w:val="left"/>
      <w:pPr>
        <w:ind w:left="1428" w:hanging="0"/>
      </w:pPr>
      <w:rPr/>
    </w:lvl>
    <w:lvl w:ilvl="2">
      <w:start w:val="1"/>
      <w:numFmt w:val="lowerRoman"/>
      <w:suff w:val="tab"/>
      <w:lvlText w:val="%3."/>
      <w:lvlJc w:val="left"/>
      <w:pPr>
        <w:ind w:left="2328" w:hanging="0"/>
      </w:pPr>
      <w:rPr/>
    </w:lvl>
    <w:lvl w:ilvl="3">
      <w:start w:val="1"/>
      <w:numFmt w:val="decimal"/>
      <w:suff w:val="tab"/>
      <w:lvlText w:val="%4."/>
      <w:lvlJc w:val="left"/>
      <w:pPr>
        <w:ind w:left="2868" w:hanging="0"/>
      </w:pPr>
      <w:rPr/>
    </w:lvl>
    <w:lvl w:ilvl="4">
      <w:start w:val="1"/>
      <w:numFmt w:val="lowerLetter"/>
      <w:suff w:val="tab"/>
      <w:lvlText w:val="%5."/>
      <w:lvlJc w:val="left"/>
      <w:pPr>
        <w:ind w:left="3588" w:hanging="0"/>
      </w:pPr>
      <w:rPr/>
    </w:lvl>
    <w:lvl w:ilvl="5">
      <w:start w:val="1"/>
      <w:numFmt w:val="lowerRoman"/>
      <w:suff w:val="tab"/>
      <w:lvlText w:val="%6."/>
      <w:lvlJc w:val="left"/>
      <w:pPr>
        <w:ind w:left="4488" w:hanging="0"/>
      </w:pPr>
      <w:rPr/>
    </w:lvl>
    <w:lvl w:ilvl="6">
      <w:start w:val="1"/>
      <w:numFmt w:val="decimal"/>
      <w:suff w:val="tab"/>
      <w:lvlText w:val="%7."/>
      <w:lvlJc w:val="left"/>
      <w:pPr>
        <w:ind w:left="5028" w:hanging="0"/>
      </w:pPr>
      <w:rPr/>
    </w:lvl>
    <w:lvl w:ilvl="7">
      <w:start w:val="1"/>
      <w:numFmt w:val="lowerLetter"/>
      <w:suff w:val="tab"/>
      <w:lvlText w:val="%8."/>
      <w:lvlJc w:val="left"/>
      <w:pPr>
        <w:ind w:left="5748" w:hanging="0"/>
      </w:pPr>
      <w:rPr/>
    </w:lvl>
    <w:lvl w:ilvl="8">
      <w:start w:val="1"/>
      <w:numFmt w:val="lowerRoman"/>
      <w:suff w:val="tab"/>
      <w:lvlText w:val="%9."/>
      <w:lvlJc w:val="left"/>
      <w:pPr>
        <w:ind w:left="6648" w:hanging="0"/>
      </w:pPr>
      <w:rPr/>
    </w:lvl>
  </w:abstractNum>
  <w:abstractNum w:abstractNumId="9">
    <w:multiLevelType w:val="hybridMultilevel"/>
    <w:name w:val="Нумерованный список 2"/>
    <w:lvl w:ilvl="0">
      <w:start w:val="1"/>
      <w:numFmt w:val="decimal"/>
      <w:suff w:val="tab"/>
      <w:lvlText w:val="%1."/>
      <w:lvlJc w:val="left"/>
      <w:pPr>
        <w:ind w:left="708" w:hanging="0"/>
      </w:pPr>
      <w:rPr/>
    </w:lvl>
    <w:lvl w:ilvl="1">
      <w:start w:val="1"/>
      <w:numFmt w:val="lowerLetter"/>
      <w:suff w:val="tab"/>
      <w:lvlText w:val="%2."/>
      <w:lvlJc w:val="left"/>
      <w:pPr>
        <w:ind w:left="1428" w:hanging="0"/>
      </w:pPr>
      <w:rPr/>
    </w:lvl>
    <w:lvl w:ilvl="2">
      <w:start w:val="1"/>
      <w:numFmt w:val="lowerRoman"/>
      <w:suff w:val="tab"/>
      <w:lvlText w:val="%3."/>
      <w:lvlJc w:val="left"/>
      <w:pPr>
        <w:ind w:left="2328" w:hanging="0"/>
      </w:pPr>
      <w:rPr/>
    </w:lvl>
    <w:lvl w:ilvl="3">
      <w:start w:val="1"/>
      <w:numFmt w:val="decimal"/>
      <w:suff w:val="tab"/>
      <w:lvlText w:val="%4."/>
      <w:lvlJc w:val="left"/>
      <w:pPr>
        <w:ind w:left="2868" w:hanging="0"/>
      </w:pPr>
      <w:rPr/>
    </w:lvl>
    <w:lvl w:ilvl="4">
      <w:start w:val="1"/>
      <w:numFmt w:val="lowerLetter"/>
      <w:suff w:val="tab"/>
      <w:lvlText w:val="%5."/>
      <w:lvlJc w:val="left"/>
      <w:pPr>
        <w:ind w:left="3588" w:hanging="0"/>
      </w:pPr>
      <w:rPr/>
    </w:lvl>
    <w:lvl w:ilvl="5">
      <w:start w:val="1"/>
      <w:numFmt w:val="lowerRoman"/>
      <w:suff w:val="tab"/>
      <w:lvlText w:val="%6."/>
      <w:lvlJc w:val="left"/>
      <w:pPr>
        <w:ind w:left="4488" w:hanging="0"/>
      </w:pPr>
      <w:rPr/>
    </w:lvl>
    <w:lvl w:ilvl="6">
      <w:start w:val="1"/>
      <w:numFmt w:val="decimal"/>
      <w:suff w:val="tab"/>
      <w:lvlText w:val="%7."/>
      <w:lvlJc w:val="left"/>
      <w:pPr>
        <w:ind w:left="5028" w:hanging="0"/>
      </w:pPr>
      <w:rPr/>
    </w:lvl>
    <w:lvl w:ilvl="7">
      <w:start w:val="1"/>
      <w:numFmt w:val="lowerLetter"/>
      <w:suff w:val="tab"/>
      <w:lvlText w:val="%8."/>
      <w:lvlJc w:val="left"/>
      <w:pPr>
        <w:ind w:left="5748" w:hanging="0"/>
      </w:pPr>
      <w:rPr/>
    </w:lvl>
    <w:lvl w:ilvl="8">
      <w:start w:val="1"/>
      <w:numFmt w:val="lowerRoman"/>
      <w:suff w:val="tab"/>
      <w:lvlText w:val="%9."/>
      <w:lvlJc w:val="left"/>
      <w:pPr>
        <w:ind w:left="6648" w:hanging="0"/>
      </w:pPr>
      <w:rPr/>
    </w:lvl>
  </w:abstractNum>
  <w:abstractNum w:abstractNumId="10">
    <w:multiLevelType w:val="hybridMultilevel"/>
    <w:name w:val="Нумерованный список 6"/>
    <w:lvl w:ilvl="0">
      <w:start w:val="1"/>
      <w:numFmt w:val="decimal"/>
      <w:suff w:val="tab"/>
      <w:lvlText w:val="%1."/>
      <w:lvlJc w:val="left"/>
      <w:pPr>
        <w:ind w:left="701" w:hanging="0"/>
      </w:pPr>
      <w:rPr/>
    </w:lvl>
    <w:lvl w:ilvl="1">
      <w:start w:val="1"/>
      <w:numFmt w:val="lowerLetter"/>
      <w:suff w:val="tab"/>
      <w:lvlText w:val="%2."/>
      <w:lvlJc w:val="left"/>
      <w:pPr>
        <w:ind w:left="1421" w:hanging="0"/>
      </w:pPr>
      <w:rPr/>
    </w:lvl>
    <w:lvl w:ilvl="2">
      <w:start w:val="1"/>
      <w:numFmt w:val="lowerRoman"/>
      <w:suff w:val="tab"/>
      <w:lvlText w:val="%3."/>
      <w:lvlJc w:val="left"/>
      <w:pPr>
        <w:ind w:left="2321" w:hanging="0"/>
      </w:pPr>
      <w:rPr/>
    </w:lvl>
    <w:lvl w:ilvl="3">
      <w:start w:val="1"/>
      <w:numFmt w:val="decimal"/>
      <w:suff w:val="tab"/>
      <w:lvlText w:val="%4."/>
      <w:lvlJc w:val="left"/>
      <w:pPr>
        <w:ind w:left="2861" w:hanging="0"/>
      </w:pPr>
      <w:rPr/>
    </w:lvl>
    <w:lvl w:ilvl="4">
      <w:start w:val="1"/>
      <w:numFmt w:val="lowerLetter"/>
      <w:suff w:val="tab"/>
      <w:lvlText w:val="%5."/>
      <w:lvlJc w:val="left"/>
      <w:pPr>
        <w:ind w:left="3581" w:hanging="0"/>
      </w:pPr>
      <w:rPr/>
    </w:lvl>
    <w:lvl w:ilvl="5">
      <w:start w:val="1"/>
      <w:numFmt w:val="lowerRoman"/>
      <w:suff w:val="tab"/>
      <w:lvlText w:val="%6."/>
      <w:lvlJc w:val="left"/>
      <w:pPr>
        <w:ind w:left="4481" w:hanging="0"/>
      </w:pPr>
      <w:rPr/>
    </w:lvl>
    <w:lvl w:ilvl="6">
      <w:start w:val="1"/>
      <w:numFmt w:val="decimal"/>
      <w:suff w:val="tab"/>
      <w:lvlText w:val="%7."/>
      <w:lvlJc w:val="left"/>
      <w:pPr>
        <w:ind w:left="5021" w:hanging="0"/>
      </w:pPr>
      <w:rPr/>
    </w:lvl>
    <w:lvl w:ilvl="7">
      <w:start w:val="1"/>
      <w:numFmt w:val="lowerLetter"/>
      <w:suff w:val="tab"/>
      <w:lvlText w:val="%8."/>
      <w:lvlJc w:val="left"/>
      <w:pPr>
        <w:ind w:left="5741" w:hanging="0"/>
      </w:pPr>
      <w:rPr/>
    </w:lvl>
    <w:lvl w:ilvl="8">
      <w:start w:val="1"/>
      <w:numFmt w:val="lowerRoman"/>
      <w:suff w:val="tab"/>
      <w:lvlText w:val="%9."/>
      <w:lvlJc w:val="left"/>
      <w:pPr>
        <w:ind w:left="6641" w:hanging="0"/>
      </w:pPr>
      <w:rPr/>
    </w:lvl>
  </w:abstractNum>
  <w:abstractNum w:abstractNumId="11">
    <w:multiLevelType w:val="hybridMultilevel"/>
    <w:name w:val="Нумерованный список 4"/>
    <w:lvl w:ilvl="0">
      <w:start w:val="1"/>
      <w:numFmt w:val="decimal"/>
      <w:suff w:val="tab"/>
      <w:lvlText w:val="%1."/>
      <w:lvlJc w:val="left"/>
      <w:pPr>
        <w:ind w:left="708" w:hanging="0"/>
      </w:pPr>
      <w:rPr/>
    </w:lvl>
    <w:lvl w:ilvl="1">
      <w:start w:val="1"/>
      <w:numFmt w:val="lowerLetter"/>
      <w:suff w:val="tab"/>
      <w:lvlText w:val="%2."/>
      <w:lvlJc w:val="left"/>
      <w:pPr>
        <w:ind w:left="1428" w:hanging="0"/>
      </w:pPr>
      <w:rPr/>
    </w:lvl>
    <w:lvl w:ilvl="2">
      <w:start w:val="1"/>
      <w:numFmt w:val="lowerRoman"/>
      <w:suff w:val="tab"/>
      <w:lvlText w:val="%3."/>
      <w:lvlJc w:val="left"/>
      <w:pPr>
        <w:ind w:left="2328" w:hanging="0"/>
      </w:pPr>
      <w:rPr/>
    </w:lvl>
    <w:lvl w:ilvl="3">
      <w:start w:val="1"/>
      <w:numFmt w:val="decimal"/>
      <w:suff w:val="tab"/>
      <w:lvlText w:val="%4."/>
      <w:lvlJc w:val="left"/>
      <w:pPr>
        <w:ind w:left="2868" w:hanging="0"/>
      </w:pPr>
      <w:rPr/>
    </w:lvl>
    <w:lvl w:ilvl="4">
      <w:start w:val="1"/>
      <w:numFmt w:val="lowerLetter"/>
      <w:suff w:val="tab"/>
      <w:lvlText w:val="%5."/>
      <w:lvlJc w:val="left"/>
      <w:pPr>
        <w:ind w:left="3588" w:hanging="0"/>
      </w:pPr>
      <w:rPr/>
    </w:lvl>
    <w:lvl w:ilvl="5">
      <w:start w:val="1"/>
      <w:numFmt w:val="lowerRoman"/>
      <w:suff w:val="tab"/>
      <w:lvlText w:val="%6."/>
      <w:lvlJc w:val="left"/>
      <w:pPr>
        <w:ind w:left="4488" w:hanging="0"/>
      </w:pPr>
      <w:rPr/>
    </w:lvl>
    <w:lvl w:ilvl="6">
      <w:start w:val="1"/>
      <w:numFmt w:val="decimal"/>
      <w:suff w:val="tab"/>
      <w:lvlText w:val="%7."/>
      <w:lvlJc w:val="left"/>
      <w:pPr>
        <w:ind w:left="5028" w:hanging="0"/>
      </w:pPr>
      <w:rPr/>
    </w:lvl>
    <w:lvl w:ilvl="7">
      <w:start w:val="1"/>
      <w:numFmt w:val="lowerLetter"/>
      <w:suff w:val="tab"/>
      <w:lvlText w:val="%8."/>
      <w:lvlJc w:val="left"/>
      <w:pPr>
        <w:ind w:left="5748" w:hanging="0"/>
      </w:pPr>
      <w:rPr/>
    </w:lvl>
    <w:lvl w:ilvl="8">
      <w:start w:val="1"/>
      <w:numFmt w:val="lowerRoman"/>
      <w:suff w:val="tab"/>
      <w:lvlText w:val="%9."/>
      <w:lvlJc w:val="left"/>
      <w:pPr>
        <w:ind w:left="6648" w:hanging="0"/>
      </w:pPr>
      <w:rPr/>
    </w:lvl>
  </w:abstractNum>
  <w:abstractNum w:abstractNumId="12">
    <w:multiLevelType w:val="hybridMultilevel"/>
    <w:name w:val="Нумерованный список 14"/>
    <w:lvl w:ilvl="0">
      <w:start w:val="1"/>
      <w:numFmt w:val="decimal"/>
      <w:suff w:val="tab"/>
      <w:lvlText w:val="%1."/>
      <w:lvlJc w:val="left"/>
      <w:pPr>
        <w:ind w:left="709" w:hanging="0"/>
      </w:pPr>
      <w:rPr/>
    </w:lvl>
    <w:lvl w:ilvl="1">
      <w:start w:val="1"/>
      <w:numFmt w:val="lowerLetter"/>
      <w:suff w:val="tab"/>
      <w:lvlText w:val="%2."/>
      <w:lvlJc w:val="left"/>
      <w:pPr>
        <w:ind w:left="1429" w:hanging="0"/>
      </w:pPr>
      <w:rPr/>
    </w:lvl>
    <w:lvl w:ilvl="2">
      <w:start w:val="1"/>
      <w:numFmt w:val="lowerRoman"/>
      <w:suff w:val="tab"/>
      <w:lvlText w:val="%3."/>
      <w:lvlJc w:val="left"/>
      <w:pPr>
        <w:ind w:left="2329" w:hanging="0"/>
      </w:pPr>
      <w:rPr/>
    </w:lvl>
    <w:lvl w:ilvl="3">
      <w:start w:val="1"/>
      <w:numFmt w:val="decimal"/>
      <w:suff w:val="tab"/>
      <w:lvlText w:val="%4."/>
      <w:lvlJc w:val="left"/>
      <w:pPr>
        <w:ind w:left="2869" w:hanging="0"/>
      </w:pPr>
      <w:rPr/>
    </w:lvl>
    <w:lvl w:ilvl="4">
      <w:start w:val="1"/>
      <w:numFmt w:val="lowerLetter"/>
      <w:suff w:val="tab"/>
      <w:lvlText w:val="%5."/>
      <w:lvlJc w:val="left"/>
      <w:pPr>
        <w:ind w:left="3589" w:hanging="0"/>
      </w:pPr>
      <w:rPr/>
    </w:lvl>
    <w:lvl w:ilvl="5">
      <w:start w:val="1"/>
      <w:numFmt w:val="lowerRoman"/>
      <w:suff w:val="tab"/>
      <w:lvlText w:val="%6."/>
      <w:lvlJc w:val="left"/>
      <w:pPr>
        <w:ind w:left="4489" w:hanging="0"/>
      </w:pPr>
      <w:rPr/>
    </w:lvl>
    <w:lvl w:ilvl="6">
      <w:start w:val="1"/>
      <w:numFmt w:val="decimal"/>
      <w:suff w:val="tab"/>
      <w:lvlText w:val="%7."/>
      <w:lvlJc w:val="left"/>
      <w:pPr>
        <w:ind w:left="5029" w:hanging="0"/>
      </w:pPr>
      <w:rPr/>
    </w:lvl>
    <w:lvl w:ilvl="7">
      <w:start w:val="1"/>
      <w:numFmt w:val="lowerLetter"/>
      <w:suff w:val="tab"/>
      <w:lvlText w:val="%8."/>
      <w:lvlJc w:val="left"/>
      <w:pPr>
        <w:ind w:left="5749" w:hanging="0"/>
      </w:pPr>
      <w:rPr/>
    </w:lvl>
    <w:lvl w:ilvl="8">
      <w:start w:val="1"/>
      <w:numFmt w:val="lowerRoman"/>
      <w:suff w:val="tab"/>
      <w:lvlText w:val="%9."/>
      <w:lvlJc w:val="left"/>
      <w:pPr>
        <w:ind w:left="6649" w:hanging="0"/>
      </w:pPr>
      <w:rPr/>
    </w:lvl>
  </w:abstractNum>
  <w:abstractNum w:abstractNumId="13">
    <w:multiLevelType w:val="hybridMultilevel"/>
    <w:name w:val="Нумерованный список 9"/>
    <w:lvl w:ilvl="0">
      <w:start w:val="1"/>
      <w:numFmt w:val="decimal"/>
      <w:suff w:val="tab"/>
      <w:lvlText w:val="%1."/>
      <w:lvlJc w:val="left"/>
      <w:pPr>
        <w:ind w:left="709" w:hanging="0"/>
      </w:pPr>
      <w:rPr/>
    </w:lvl>
    <w:lvl w:ilvl="1">
      <w:start w:val="1"/>
      <w:numFmt w:val="lowerLetter"/>
      <w:suff w:val="tab"/>
      <w:lvlText w:val="%2."/>
      <w:lvlJc w:val="left"/>
      <w:pPr>
        <w:ind w:left="1429" w:hanging="0"/>
      </w:pPr>
      <w:rPr/>
    </w:lvl>
    <w:lvl w:ilvl="2">
      <w:start w:val="1"/>
      <w:numFmt w:val="lowerRoman"/>
      <w:suff w:val="tab"/>
      <w:lvlText w:val="%3."/>
      <w:lvlJc w:val="left"/>
      <w:pPr>
        <w:ind w:left="2329" w:hanging="0"/>
      </w:pPr>
      <w:rPr/>
    </w:lvl>
    <w:lvl w:ilvl="3">
      <w:start w:val="1"/>
      <w:numFmt w:val="decimal"/>
      <w:suff w:val="tab"/>
      <w:lvlText w:val="%4."/>
      <w:lvlJc w:val="left"/>
      <w:pPr>
        <w:ind w:left="2869" w:hanging="0"/>
      </w:pPr>
      <w:rPr/>
    </w:lvl>
    <w:lvl w:ilvl="4">
      <w:start w:val="1"/>
      <w:numFmt w:val="lowerLetter"/>
      <w:suff w:val="tab"/>
      <w:lvlText w:val="%5."/>
      <w:lvlJc w:val="left"/>
      <w:pPr>
        <w:ind w:left="3589" w:hanging="0"/>
      </w:pPr>
      <w:rPr/>
    </w:lvl>
    <w:lvl w:ilvl="5">
      <w:start w:val="1"/>
      <w:numFmt w:val="lowerRoman"/>
      <w:suff w:val="tab"/>
      <w:lvlText w:val="%6."/>
      <w:lvlJc w:val="left"/>
      <w:pPr>
        <w:ind w:left="4489" w:hanging="0"/>
      </w:pPr>
      <w:rPr/>
    </w:lvl>
    <w:lvl w:ilvl="6">
      <w:start w:val="1"/>
      <w:numFmt w:val="decimal"/>
      <w:suff w:val="tab"/>
      <w:lvlText w:val="%7."/>
      <w:lvlJc w:val="left"/>
      <w:pPr>
        <w:ind w:left="5029" w:hanging="0"/>
      </w:pPr>
      <w:rPr/>
    </w:lvl>
    <w:lvl w:ilvl="7">
      <w:start w:val="1"/>
      <w:numFmt w:val="lowerLetter"/>
      <w:suff w:val="tab"/>
      <w:lvlText w:val="%8."/>
      <w:lvlJc w:val="left"/>
      <w:pPr>
        <w:ind w:left="5749" w:hanging="0"/>
      </w:pPr>
      <w:rPr/>
    </w:lvl>
    <w:lvl w:ilvl="8">
      <w:start w:val="1"/>
      <w:numFmt w:val="lowerRoman"/>
      <w:suff w:val="tab"/>
      <w:lvlText w:val="%9."/>
      <w:lvlJc w:val="left"/>
      <w:pPr>
        <w:ind w:left="6649" w:hanging="0"/>
      </w:pPr>
      <w:rPr/>
    </w:lvl>
  </w:abstractNum>
  <w:abstractNum w:abstractNumId="14">
    <w:multiLevelType w:val="hybridMultilevel"/>
    <w:name w:val="Нумерованный список 15"/>
    <w:lvl w:ilvl="0">
      <w:start w:val="1"/>
      <w:numFmt w:val="decimal"/>
      <w:suff w:val="tab"/>
      <w:lvlText w:val="%1."/>
      <w:lvlJc w:val="left"/>
      <w:pPr>
        <w:ind w:left="709" w:hanging="0"/>
      </w:pPr>
      <w:rPr/>
    </w:lvl>
    <w:lvl w:ilvl="1">
      <w:start w:val="1"/>
      <w:numFmt w:val="lowerLetter"/>
      <w:suff w:val="tab"/>
      <w:lvlText w:val="%2."/>
      <w:lvlJc w:val="left"/>
      <w:pPr>
        <w:ind w:left="1429" w:hanging="0"/>
      </w:pPr>
      <w:rPr/>
    </w:lvl>
    <w:lvl w:ilvl="2">
      <w:start w:val="1"/>
      <w:numFmt w:val="lowerRoman"/>
      <w:suff w:val="tab"/>
      <w:lvlText w:val="%3."/>
      <w:lvlJc w:val="left"/>
      <w:pPr>
        <w:ind w:left="2329" w:hanging="0"/>
      </w:pPr>
      <w:rPr/>
    </w:lvl>
    <w:lvl w:ilvl="3">
      <w:start w:val="1"/>
      <w:numFmt w:val="decimal"/>
      <w:suff w:val="tab"/>
      <w:lvlText w:val="%4."/>
      <w:lvlJc w:val="left"/>
      <w:pPr>
        <w:ind w:left="2869" w:hanging="0"/>
      </w:pPr>
      <w:rPr/>
    </w:lvl>
    <w:lvl w:ilvl="4">
      <w:start w:val="1"/>
      <w:numFmt w:val="lowerLetter"/>
      <w:suff w:val="tab"/>
      <w:lvlText w:val="%5."/>
      <w:lvlJc w:val="left"/>
      <w:pPr>
        <w:ind w:left="3589" w:hanging="0"/>
      </w:pPr>
      <w:rPr/>
    </w:lvl>
    <w:lvl w:ilvl="5">
      <w:start w:val="1"/>
      <w:numFmt w:val="lowerRoman"/>
      <w:suff w:val="tab"/>
      <w:lvlText w:val="%6."/>
      <w:lvlJc w:val="left"/>
      <w:pPr>
        <w:ind w:left="4489" w:hanging="0"/>
      </w:pPr>
      <w:rPr/>
    </w:lvl>
    <w:lvl w:ilvl="6">
      <w:start w:val="1"/>
      <w:numFmt w:val="decimal"/>
      <w:suff w:val="tab"/>
      <w:lvlText w:val="%7."/>
      <w:lvlJc w:val="left"/>
      <w:pPr>
        <w:ind w:left="5029" w:hanging="0"/>
      </w:pPr>
      <w:rPr/>
    </w:lvl>
    <w:lvl w:ilvl="7">
      <w:start w:val="1"/>
      <w:numFmt w:val="lowerLetter"/>
      <w:suff w:val="tab"/>
      <w:lvlText w:val="%8."/>
      <w:lvlJc w:val="left"/>
      <w:pPr>
        <w:ind w:left="5749" w:hanging="0"/>
      </w:pPr>
      <w:rPr/>
    </w:lvl>
    <w:lvl w:ilvl="8">
      <w:start w:val="1"/>
      <w:numFmt w:val="lowerRoman"/>
      <w:suff w:val="tab"/>
      <w:lvlText w:val="%9."/>
      <w:lvlJc w:val="left"/>
      <w:pPr>
        <w:ind w:left="6649" w:hanging="0"/>
      </w:pPr>
      <w:rPr/>
    </w:lvl>
  </w:abstractNum>
  <w:abstractNum w:abstractNumId="15">
    <w:multiLevelType w:val="hybridMultilevel"/>
    <w:name w:val="Нумерованный список 10"/>
    <w:lvl w:ilvl="0">
      <w:start w:val="1"/>
      <w:numFmt w:val="decimal"/>
      <w:suff w:val="tab"/>
      <w:lvlText w:val="%1."/>
      <w:lvlJc w:val="left"/>
      <w:pPr>
        <w:ind w:left="708" w:hanging="0"/>
      </w:pPr>
      <w:rPr/>
    </w:lvl>
    <w:lvl w:ilvl="1">
      <w:start w:val="1"/>
      <w:numFmt w:val="lowerLetter"/>
      <w:suff w:val="tab"/>
      <w:lvlText w:val="%2."/>
      <w:lvlJc w:val="left"/>
      <w:pPr>
        <w:ind w:left="1428" w:hanging="0"/>
      </w:pPr>
      <w:rPr/>
    </w:lvl>
    <w:lvl w:ilvl="2">
      <w:start w:val="1"/>
      <w:numFmt w:val="lowerRoman"/>
      <w:suff w:val="tab"/>
      <w:lvlText w:val="%3."/>
      <w:lvlJc w:val="left"/>
      <w:pPr>
        <w:ind w:left="2328" w:hanging="0"/>
      </w:pPr>
      <w:rPr/>
    </w:lvl>
    <w:lvl w:ilvl="3">
      <w:start w:val="1"/>
      <w:numFmt w:val="decimal"/>
      <w:suff w:val="tab"/>
      <w:lvlText w:val="%4."/>
      <w:lvlJc w:val="left"/>
      <w:pPr>
        <w:ind w:left="2868" w:hanging="0"/>
      </w:pPr>
      <w:rPr/>
    </w:lvl>
    <w:lvl w:ilvl="4">
      <w:start w:val="1"/>
      <w:numFmt w:val="lowerLetter"/>
      <w:suff w:val="tab"/>
      <w:lvlText w:val="%5."/>
      <w:lvlJc w:val="left"/>
      <w:pPr>
        <w:ind w:left="3588" w:hanging="0"/>
      </w:pPr>
      <w:rPr/>
    </w:lvl>
    <w:lvl w:ilvl="5">
      <w:start w:val="1"/>
      <w:numFmt w:val="lowerRoman"/>
      <w:suff w:val="tab"/>
      <w:lvlText w:val="%6."/>
      <w:lvlJc w:val="left"/>
      <w:pPr>
        <w:ind w:left="4488" w:hanging="0"/>
      </w:pPr>
      <w:rPr/>
    </w:lvl>
    <w:lvl w:ilvl="6">
      <w:start w:val="1"/>
      <w:numFmt w:val="decimal"/>
      <w:suff w:val="tab"/>
      <w:lvlText w:val="%7."/>
      <w:lvlJc w:val="left"/>
      <w:pPr>
        <w:ind w:left="5028" w:hanging="0"/>
      </w:pPr>
      <w:rPr/>
    </w:lvl>
    <w:lvl w:ilvl="7">
      <w:start w:val="1"/>
      <w:numFmt w:val="lowerLetter"/>
      <w:suff w:val="tab"/>
      <w:lvlText w:val="%8."/>
      <w:lvlJc w:val="left"/>
      <w:pPr>
        <w:ind w:left="5748" w:hanging="0"/>
      </w:pPr>
      <w:rPr/>
    </w:lvl>
    <w:lvl w:ilvl="8">
      <w:start w:val="1"/>
      <w:numFmt w:val="lowerRoman"/>
      <w:suff w:val="tab"/>
      <w:lvlText w:val="%9."/>
      <w:lvlJc w:val="left"/>
      <w:pPr>
        <w:ind w:left="6648" w:hanging="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view w:val="print"/>
  <w:defaultTabStop w:val="708"/>
  <w:autoHyphenation w:val="1"/>
  <w:doNotShadeFormData w:val="1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>
    <w:doNotUseHTMLParagraphAutoSpacing w:val="1"/>
  </w:compat>
  <w:shapeDefaults>
    <o:shapedefaults v:ext="edit" spidmax="2049"/>
    <o:shapelayout v:ext="edit">
      <o:rules v:ext="edit"/>
    </o:shapelayout>
  </w:shapeDefaults>
  <w:tmPrefOne w:val="16"/>
  <w:tmPrefTwo w:val="1"/>
  <w:tmFmtPref w:val="189281387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370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9"/>
    <w:tmLastPosSelect w:val="0"/>
    <w:tmLastPosFrameIdx w:val="0"/>
    <w:tmLastPosCaret>
      <w:tmLastPosPgfIdx w:val="211"/>
      <w:tmLastPosIdx w:val="0"/>
    </w:tmLastPosCaret>
    <w:tmLastPosAnchor>
      <w:tmLastPosPgfIdx w:val="0"/>
      <w:tmLastPosIdx w:val="0"/>
    </w:tmLastPosAnchor>
    <w:tmLastPosTblRect w:left="0" w:top="0" w:right="0" w:bottom="0"/>
  </w:tmLastPos>
  <w:tmAppRevision w:date="1556894552" w:val="917" w:fileVer="341"/>
  <w:guidesAndGrid showGuides="1" lockGuides="0" snapToGuides="1" snapToPageMargins="0" snapToOtherObjects="1" tolerance="8" gridDistanceHorizontal="283" gridDistanceVertical="283" showGrid="0" snapToGrid="0" numberOfMasterpages="3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SimSun" w:cs="Times New Roman"/>
        <w:kern w:val="1"/>
        <w:sz w:val="20"/>
        <w:szCs w:val="20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para0" w:default="1">
    <w:name w:val="Normal"/>
    <w:qFormat/>
    <w:pPr>
      <w:widowControl w:val="0"/>
    </w:pPr>
  </w:style>
  <w:style w:type="paragraph" w:styleId="para4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</w:style>
  <w:style w:type="paragraph" w:styleId="para5">
    <w:name w:val="heading 2"/>
    <w:qFormat/>
    <w:basedOn w:val="para4"/>
    <w:next w:val="para0"/>
    <w:pPr>
      <w:outlineLvl w:val="1"/>
    </w:pPr>
    <w:rPr>
      <w:sz w:val="32"/>
      <w:szCs w:val="32"/>
    </w:rPr>
  </w:style>
  <w:style w:type="paragraph" w:styleId="para6">
    <w:name w:val="heading 3"/>
    <w:qFormat/>
    <w:basedOn w:val="para5"/>
    <w:next w:val="para0"/>
    <w:pPr>
      <w:outlineLvl w:val="2"/>
    </w:pPr>
    <w:rPr>
      <w:sz w:val="28"/>
      <w:szCs w:val="28"/>
    </w:rPr>
  </w:style>
  <w:style w:type="paragraph" w:styleId="para7">
    <w:name w:val="List Paragraph"/>
    <w:qFormat/>
    <w:basedOn w:val="para0"/>
    <w:pPr>
      <w:ind w:left="720"/>
      <w:contextualSpacing/>
    </w:pPr>
  </w:style>
  <w:style w:type="paragraph" w:styleId="para8" w:customStyle="1">
    <w:name w:val="Текстовый блок"/>
    <w:qFormat/>
    <w:rPr>
      <w:rFonts w:ascii="Helvetica" w:hAnsi="Helvetica" w:eastAsia="Arial Unicode MS" w:cs="Helvetica"/>
      <w:color w:val="000000"/>
      <w:sz w:val="22"/>
      <w:szCs w:val="22"/>
    </w:rPr>
  </w:style>
  <w:style w:type="paragraph" w:styleId="para9">
    <w:name w:val="Header"/>
    <w:qFormat/>
    <w:basedOn w:val="para0"/>
    <w:pPr>
      <w:tabs>
        <w:tab w:val="center" w:pos="4819" w:leader="none"/>
        <w:tab w:val="right" w:pos="9639" w:leader="none"/>
      </w:tabs>
    </w:pPr>
  </w:style>
  <w:style w:type="character" w:styleId="char0" w:default="1">
    <w:name w:val="Default Paragraph Font"/>
  </w:style>
  <w:style w:type="character" w:styleId="char1">
    <w:name w:val="Hyperlink"/>
    <w:rPr>
      <w:color w:val="0000ff"/>
      <w:u w:color="auto"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hAnsi="Times New Roman" w:eastAsia="SimSun" w:cs="Times New Roman"/>
        <w:kern w:val="1"/>
        <w:sz w:val="20"/>
        <w:szCs w:val="20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para0" w:default="1">
    <w:name w:val="Normal"/>
    <w:qFormat/>
    <w:pPr>
      <w:widowControl w:val="0"/>
    </w:pPr>
  </w:style>
  <w:style w:type="paragraph" w:styleId="para4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</w:style>
  <w:style w:type="paragraph" w:styleId="para5">
    <w:name w:val="heading 2"/>
    <w:qFormat/>
    <w:basedOn w:val="para4"/>
    <w:next w:val="para0"/>
    <w:pPr>
      <w:outlineLvl w:val="1"/>
    </w:pPr>
    <w:rPr>
      <w:sz w:val="32"/>
      <w:szCs w:val="32"/>
    </w:rPr>
  </w:style>
  <w:style w:type="paragraph" w:styleId="para6">
    <w:name w:val="heading 3"/>
    <w:qFormat/>
    <w:basedOn w:val="para5"/>
    <w:next w:val="para0"/>
    <w:pPr>
      <w:outlineLvl w:val="2"/>
    </w:pPr>
    <w:rPr>
      <w:sz w:val="28"/>
      <w:szCs w:val="28"/>
    </w:rPr>
  </w:style>
  <w:style w:type="paragraph" w:styleId="para7">
    <w:name w:val="List Paragraph"/>
    <w:qFormat/>
    <w:basedOn w:val="para0"/>
    <w:pPr>
      <w:ind w:left="720"/>
      <w:contextualSpacing/>
    </w:pPr>
  </w:style>
  <w:style w:type="paragraph" w:styleId="para8" w:customStyle="1">
    <w:name w:val="Текстовый блок"/>
    <w:qFormat/>
    <w:rPr>
      <w:rFonts w:ascii="Helvetica" w:hAnsi="Helvetica" w:eastAsia="Arial Unicode MS" w:cs="Helvetica"/>
      <w:color w:val="000000"/>
      <w:sz w:val="22"/>
      <w:szCs w:val="22"/>
    </w:rPr>
  </w:style>
  <w:style w:type="paragraph" w:styleId="para9">
    <w:name w:val="Header"/>
    <w:qFormat/>
    <w:basedOn w:val="para0"/>
    <w:pPr>
      <w:tabs>
        <w:tab w:val="center" w:pos="4819" w:leader="none"/>
        <w:tab w:val="right" w:pos="9639" w:leader="none"/>
      </w:tabs>
    </w:pPr>
  </w:style>
  <w:style w:type="character" w:styleId="char0" w:default="1">
    <w:name w:val="Default Paragraph Font"/>
  </w:style>
  <w:style w:type="character" w:styleId="char1">
    <w:name w:val="Hyperlink"/>
    <w:rPr>
      <w:color w:val="0000ff"/>
      <w:u w:color="auto"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D5D5D5"/>
      </a:dk1>
      <a:lt1>
        <a:sysClr val="window" lastClr="49494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2018 rev.917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/>
  <cp:revision>370</cp:revision>
  <dcterms:created xsi:type="dcterms:W3CDTF">2019-04-21T21:34:00Z</dcterms:created>
  <dcterms:modified xsi:type="dcterms:W3CDTF">2019-05-03T14:42:32Z</dcterms:modified>
</cp:coreProperties>
</file>